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420" w:firstLineChars="200"/>
        <w:rPr>
          <w:rFonts w:hint="eastAsia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中国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山东新旧动能转换高价值专利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培育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大赛”工作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方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案</w:t>
      </w:r>
    </w:p>
    <w:p>
      <w:pPr>
        <w:widowControl w:val="0"/>
        <w:spacing w:after="120" w:line="560" w:lineRule="exact"/>
        <w:ind w:left="1470" w:leftChars="700" w:right="1470" w:rightChars="700" w:firstLine="640" w:firstLineChars="20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2"/>
          <w:lang w:val="en-US" w:eastAsia="zh-CN" w:bidi="ar-SA"/>
        </w:rPr>
      </w:pPr>
    </w:p>
    <w:p>
      <w:pPr>
        <w:keepNext/>
        <w:keepLines/>
        <w:widowControl w:val="0"/>
        <w:bidi w:val="0"/>
        <w:spacing w:before="0" w:after="0" w:line="560" w:lineRule="exact"/>
        <w:ind w:firstLine="640" w:firstLineChars="200"/>
        <w:jc w:val="both"/>
        <w:outlineLvl w:val="0"/>
        <w:rPr>
          <w:rFonts w:hint="eastAsia" w:ascii="黑体" w:hAnsi="黑体" w:eastAsia="黑体" w:cs="Times New Roman"/>
          <w:bCs/>
          <w:color w:val="auto"/>
          <w:kern w:val="44"/>
          <w:sz w:val="32"/>
          <w:szCs w:val="44"/>
          <w:lang w:val="en-US" w:eastAsia="zh-CN" w:bidi="ar-SA"/>
        </w:rPr>
      </w:pPr>
      <w:r>
        <w:rPr>
          <w:rFonts w:hint="eastAsia" w:ascii="黑体" w:hAnsi="黑体" w:eastAsia="黑体" w:cs="Times New Roman"/>
          <w:bCs/>
          <w:color w:val="auto"/>
          <w:kern w:val="44"/>
          <w:sz w:val="32"/>
          <w:szCs w:val="44"/>
          <w:lang w:val="en-US" w:eastAsia="zh-CN" w:bidi="ar-SA"/>
        </w:rPr>
        <w:t>一、大赛主题</w:t>
      </w:r>
    </w:p>
    <w:p>
      <w:pPr>
        <w:keepNext/>
        <w:keepLines/>
        <w:widowControl w:val="0"/>
        <w:numPr>
          <w:ilvl w:val="0"/>
          <w:numId w:val="0"/>
        </w:numPr>
        <w:bidi w:val="0"/>
        <w:spacing w:before="0" w:after="0" w:line="560" w:lineRule="exact"/>
        <w:ind w:leftChars="200" w:firstLine="320" w:firstLineChars="1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服务赋能专利培育 促进专利转化运用</w:t>
      </w:r>
    </w:p>
    <w:p>
      <w:pPr>
        <w:keepNext/>
        <w:keepLines/>
        <w:widowControl w:val="0"/>
        <w:numPr>
          <w:ilvl w:val="0"/>
          <w:numId w:val="0"/>
        </w:numPr>
        <w:bidi w:val="0"/>
        <w:spacing w:before="0" w:after="0" w:line="560" w:lineRule="exact"/>
        <w:ind w:leftChars="200" w:firstLine="320" w:firstLineChars="100"/>
        <w:jc w:val="both"/>
        <w:outlineLvl w:val="0"/>
        <w:rPr>
          <w:rFonts w:hint="eastAsia" w:ascii="黑体" w:hAnsi="黑体" w:eastAsia="黑体" w:cs="Times New Roman"/>
          <w:bCs/>
          <w:color w:val="auto"/>
          <w:kern w:val="44"/>
          <w:sz w:val="32"/>
          <w:szCs w:val="44"/>
          <w:lang w:val="en-US" w:eastAsia="zh-CN" w:bidi="ar-SA"/>
        </w:rPr>
      </w:pPr>
      <w:r>
        <w:rPr>
          <w:rFonts w:hint="eastAsia" w:ascii="黑体" w:hAnsi="黑体" w:eastAsia="黑体" w:cs="Times New Roman"/>
          <w:bCs/>
          <w:color w:val="auto"/>
          <w:kern w:val="44"/>
          <w:sz w:val="32"/>
          <w:szCs w:val="44"/>
          <w:lang w:val="en-US" w:eastAsia="zh-CN" w:bidi="ar-SA"/>
        </w:rPr>
        <w:t>二、赛程安排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641" w:firstLineChars="0"/>
        <w:textAlignment w:val="auto"/>
        <w:rPr>
          <w:rFonts w:hint="default" w:ascii="楷体" w:hAnsi="楷体" w:eastAsia="楷体" w:cs="楷体"/>
          <w:b w:val="0"/>
          <w:bCs w:val="0"/>
          <w:color w:val="auto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color w:val="auto"/>
          <w:lang w:val="en-US" w:eastAsia="zh-CN"/>
        </w:rPr>
        <w:t>（一）项目征集（202</w:t>
      </w:r>
      <w:r>
        <w:rPr>
          <w:rFonts w:hint="eastAsia" w:ascii="楷体" w:hAnsi="楷体" w:cs="楷体"/>
          <w:b w:val="0"/>
          <w:bCs w:val="0"/>
          <w:color w:val="auto"/>
          <w:lang w:val="en-US" w:eastAsia="zh-CN"/>
        </w:rPr>
        <w:t>4</w:t>
      </w:r>
      <w:r>
        <w:rPr>
          <w:rFonts w:hint="default" w:ascii="楷体" w:hAnsi="楷体" w:eastAsia="楷体" w:cs="楷体"/>
          <w:b w:val="0"/>
          <w:bCs w:val="0"/>
          <w:color w:val="auto"/>
          <w:lang w:val="en-US" w:eastAsia="zh-CN"/>
        </w:rPr>
        <w:t>年</w:t>
      </w:r>
      <w:r>
        <w:rPr>
          <w:rFonts w:hint="eastAsia" w:ascii="楷体" w:hAnsi="楷体" w:cs="楷体"/>
          <w:b w:val="0"/>
          <w:bCs w:val="0"/>
          <w:color w:val="auto"/>
          <w:lang w:val="en-US" w:eastAsia="zh-CN"/>
        </w:rPr>
        <w:t>4月22日-</w:t>
      </w:r>
      <w:r>
        <w:rPr>
          <w:rFonts w:hint="eastAsia" w:ascii="楷体" w:hAnsi="楷体" w:eastAsia="楷体" w:cs="楷体"/>
          <w:b w:val="0"/>
          <w:bCs w:val="0"/>
          <w:color w:val="auto"/>
          <w:lang w:val="en-US" w:eastAsia="zh-CN"/>
        </w:rPr>
        <w:t>6</w:t>
      </w:r>
      <w:r>
        <w:rPr>
          <w:rFonts w:hint="default" w:ascii="楷体" w:hAnsi="楷体" w:eastAsia="楷体" w:cs="楷体"/>
          <w:b w:val="0"/>
          <w:bCs w:val="0"/>
          <w:color w:val="auto"/>
          <w:lang w:val="en-US" w:eastAsia="zh-CN"/>
        </w:rPr>
        <w:t>月</w:t>
      </w:r>
      <w:r>
        <w:rPr>
          <w:rFonts w:hint="eastAsia" w:ascii="楷体" w:hAnsi="楷体" w:eastAsia="楷体" w:cs="楷体"/>
          <w:b w:val="0"/>
          <w:bCs w:val="0"/>
          <w:color w:val="auto"/>
          <w:lang w:val="en-US" w:eastAsia="zh-CN"/>
        </w:rPr>
        <w:t>1</w:t>
      </w:r>
      <w:r>
        <w:rPr>
          <w:rFonts w:hint="eastAsia" w:ascii="楷体" w:hAnsi="楷体" w:cs="楷体"/>
          <w:b w:val="0"/>
          <w:bCs w:val="0"/>
          <w:color w:val="auto"/>
          <w:lang w:val="en-US" w:eastAsia="zh-CN"/>
        </w:rPr>
        <w:t>1</w:t>
      </w:r>
      <w:r>
        <w:rPr>
          <w:rFonts w:hint="default" w:ascii="楷体" w:hAnsi="楷体" w:eastAsia="楷体" w:cs="楷体"/>
          <w:b w:val="0"/>
          <w:bCs w:val="0"/>
          <w:color w:val="auto"/>
          <w:lang w:val="en-US" w:eastAsia="zh-CN"/>
        </w:rPr>
        <w:t xml:space="preserve">日） </w:t>
      </w:r>
    </w:p>
    <w:p>
      <w:pPr>
        <w:spacing w:line="57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开启大赛官网的报名通道，面向全国征集参赛项目。 </w:t>
      </w:r>
    </w:p>
    <w:p>
      <w:pPr>
        <w:spacing w:line="590" w:lineRule="exact"/>
        <w:ind w:firstLine="640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（二）海选阶段（202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月）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根据参赛团队提交的报名材料，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“成长组”、“发展组”和“高校科研院所组”，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进行综合评价，选取66个优秀项目入围复赛。</w:t>
      </w:r>
    </w:p>
    <w:p>
      <w:pPr>
        <w:spacing w:line="590" w:lineRule="exact"/>
        <w:ind w:firstLine="640" w:firstLineChars="200"/>
        <w:rPr>
          <w:rFonts w:hint="default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复赛阶段（202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月）</w:t>
      </w:r>
      <w:r>
        <w:rPr>
          <w:rFonts w:hint="default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pacing w:line="57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重点考察参赛项目的专利培育和布局质量。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参赛团队按照项目竞演、专利导航、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互动答辩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评委提问和总结陈述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个环节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依次进行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比赛，评委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现场打分，成绩优胜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的36个项目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入围决赛。   </w:t>
      </w:r>
    </w:p>
    <w:p>
      <w:pPr>
        <w:spacing w:line="590" w:lineRule="exact"/>
        <w:ind w:firstLine="640" w:firstLineChars="200"/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辅导阶段（202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-10月</w:t>
      </w: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spacing w:line="57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为入围决赛的参赛单位提供一对一辅导、举办投资对接活动等。对通过专家辅导以及投资对接活动中签订意向协议的，视协议进展情况作为决赛评分参考。</w:t>
      </w:r>
    </w:p>
    <w:p>
      <w:pPr>
        <w:spacing w:line="590" w:lineRule="exact"/>
        <w:ind w:firstLine="640" w:firstLineChars="200"/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）决赛阶段（202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10月-11</w:t>
      </w: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月） </w:t>
      </w:r>
    </w:p>
    <w:p>
      <w:pPr>
        <w:spacing w:line="57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重点考察参赛项目的技术先进性和市场竞争力。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参赛团队按照项目展示、创新竞演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评委提问、总结陈述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个环节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依次进行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比赛，评委现场打分确定获奖名单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获奖等次的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占比为，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“成长组”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50%，“发展组”“高校组”各占25%。</w:t>
      </w:r>
    </w:p>
    <w:p>
      <w:pPr>
        <w:keepNext/>
        <w:keepLines/>
        <w:widowControl w:val="0"/>
        <w:numPr>
          <w:ilvl w:val="0"/>
          <w:numId w:val="0"/>
        </w:numPr>
        <w:bidi w:val="0"/>
        <w:spacing w:before="0" w:after="0" w:line="560" w:lineRule="exact"/>
        <w:ind w:firstLine="640" w:firstLineChars="200"/>
        <w:jc w:val="both"/>
        <w:outlineLvl w:val="0"/>
        <w:rPr>
          <w:rFonts w:hint="default" w:ascii="黑体" w:hAnsi="黑体" w:eastAsia="黑体" w:cs="Times New Roman"/>
          <w:bCs/>
          <w:color w:val="auto"/>
          <w:kern w:val="44"/>
          <w:sz w:val="32"/>
          <w:szCs w:val="44"/>
          <w:lang w:val="en-US" w:eastAsia="zh-CN" w:bidi="ar-SA"/>
        </w:rPr>
      </w:pPr>
      <w:r>
        <w:rPr>
          <w:rFonts w:hint="eastAsia" w:ascii="黑体" w:hAnsi="黑体" w:eastAsia="黑体" w:cs="Times New Roman"/>
          <w:bCs/>
          <w:color w:val="auto"/>
          <w:kern w:val="44"/>
          <w:sz w:val="32"/>
          <w:szCs w:val="44"/>
          <w:lang w:val="en-US" w:eastAsia="zh-CN" w:bidi="ar-SA"/>
        </w:rPr>
        <w:t>三</w:t>
      </w:r>
      <w:r>
        <w:rPr>
          <w:rFonts w:hint="default" w:ascii="黑体" w:hAnsi="黑体" w:eastAsia="黑体" w:cs="Times New Roman"/>
          <w:bCs/>
          <w:color w:val="auto"/>
          <w:kern w:val="44"/>
          <w:sz w:val="32"/>
          <w:szCs w:val="44"/>
          <w:lang w:val="en-US" w:eastAsia="zh-CN" w:bidi="ar-SA"/>
        </w:rPr>
        <w:t>、参赛奖励</w:t>
      </w:r>
    </w:p>
    <w:p>
      <w:pPr>
        <w:spacing w:line="57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一等奖4项，颁发奖杯证书、价值10万元知识产权服务； </w:t>
      </w:r>
    </w:p>
    <w:p>
      <w:pPr>
        <w:spacing w:line="57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二等奖12项，颁发奖杯证书、价值5万元知识产权服务；       </w:t>
      </w:r>
    </w:p>
    <w:p>
      <w:pPr>
        <w:spacing w:line="57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三等奖20项，颁发奖杯证书、价值2万元知识产权服务；      </w:t>
      </w:r>
    </w:p>
    <w:p>
      <w:pPr>
        <w:spacing w:line="57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优胜奖30名，颁发证书、价值1万元知识产权服务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 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</w:p>
    <w:p>
      <w:pPr>
        <w:keepNext/>
        <w:keepLines/>
        <w:widowControl w:val="0"/>
        <w:numPr>
          <w:ilvl w:val="0"/>
          <w:numId w:val="0"/>
        </w:numPr>
        <w:bidi w:val="0"/>
        <w:spacing w:before="0" w:after="0" w:line="560" w:lineRule="exact"/>
        <w:ind w:firstLine="640" w:firstLineChars="200"/>
        <w:jc w:val="both"/>
        <w:outlineLvl w:val="0"/>
        <w:rPr>
          <w:rFonts w:hint="default" w:ascii="黑体" w:hAnsi="黑体" w:eastAsia="黑体" w:cs="Times New Roman"/>
          <w:bCs/>
          <w:color w:val="auto"/>
          <w:kern w:val="44"/>
          <w:sz w:val="32"/>
          <w:szCs w:val="44"/>
          <w:lang w:val="en-US" w:eastAsia="zh-CN" w:bidi="ar-SA"/>
        </w:rPr>
      </w:pPr>
      <w:r>
        <w:rPr>
          <w:rFonts w:hint="eastAsia" w:ascii="黑体" w:hAnsi="黑体" w:eastAsia="黑体" w:cs="Times New Roman"/>
          <w:bCs/>
          <w:color w:val="auto"/>
          <w:kern w:val="44"/>
          <w:sz w:val="32"/>
          <w:szCs w:val="44"/>
          <w:lang w:val="en-US" w:eastAsia="zh-CN" w:bidi="ar-SA"/>
        </w:rPr>
        <w:t>四</w:t>
      </w:r>
      <w:r>
        <w:rPr>
          <w:rFonts w:hint="default" w:ascii="黑体" w:hAnsi="黑体" w:eastAsia="黑体" w:cs="Times New Roman"/>
          <w:bCs/>
          <w:color w:val="auto"/>
          <w:kern w:val="44"/>
          <w:sz w:val="32"/>
          <w:szCs w:val="44"/>
          <w:lang w:val="en-US" w:eastAsia="zh-CN" w:bidi="ar-SA"/>
        </w:rPr>
        <w:t>、报名条件   </w:t>
      </w:r>
    </w:p>
    <w:p>
      <w:pPr>
        <w:keepNext/>
        <w:keepLines/>
        <w:widowControl w:val="0"/>
        <w:spacing w:line="560" w:lineRule="exact"/>
        <w:ind w:firstLine="640" w:firstLineChars="200"/>
        <w:jc w:val="both"/>
        <w:outlineLvl w:val="3"/>
        <w:rPr>
          <w:rFonts w:hint="eastAsia" w:ascii="仿宋_GB2312" w:hAnsi="仿宋_GB2312" w:eastAsia="仿宋_GB2312" w:cs="仿宋_GB2312"/>
          <w:bCs/>
          <w:kern w:val="2"/>
          <w:sz w:val="32"/>
          <w:szCs w:val="28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项目征集对象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面向近两年新推向市场或正处在产品（服务）面市前期、具有专利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sz w:val="32"/>
        </w:rPr>
        <w:t>优势的创新项目，项目所属领域包括但不限于大数据与新一代信息技术产业、高端装备产业、新能源新材料产业、现代海洋产业、医养健康产业、高端化工、现代高效农业产业、纺织产业、轻工产业等。</w:t>
      </w:r>
    </w:p>
    <w:p>
      <w:pPr>
        <w:keepNext/>
        <w:keepLines/>
        <w:widowControl w:val="0"/>
        <w:spacing w:line="560" w:lineRule="exact"/>
        <w:ind w:firstLine="640" w:firstLineChars="200"/>
        <w:jc w:val="both"/>
        <w:outlineLvl w:val="3"/>
        <w:rPr>
          <w:rFonts w:hint="eastAsia" w:ascii="仿宋_GB2312" w:hAnsi="仿宋_GB2312" w:eastAsia="仿宋_GB2312" w:cs="仿宋_GB2312"/>
          <w:bCs/>
          <w:kern w:val="2"/>
          <w:sz w:val="32"/>
          <w:szCs w:val="28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参赛项目专利要求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参赛项目应当具有至少一项有效的中国发明专利，参赛项目所提供的专利能够有效保护参赛项目的创新成果，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</w:rPr>
        <w:t>指定一项专利作为核心专利参赛。参赛项目核心专利要符合以下四个条件之一：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</w:rPr>
        <w:t>属于战略性新兴产业的有效发明专利（具体参照国家知识产权局官网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）；</w:t>
      </w:r>
      <w:bookmarkStart w:id="0" w:name="_GoBack"/>
      <w:bookmarkEnd w:id="0"/>
    </w:p>
    <w:p>
      <w:pPr>
        <w:numPr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</w:rPr>
        <w:t>在海外有同族专利权的有效发明专利；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</w:rPr>
        <w:t>维持年限超过10年的有效发明专利；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</w:rPr>
        <w:t>实现较高质押融资金额的有效发明专利；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已获得过国家级、省级专利奖的项目，不接受报名参加本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32"/>
        </w:rPr>
        <w:t>大赛。</w:t>
      </w:r>
    </w:p>
    <w:p>
      <w:pPr>
        <w:keepNext/>
        <w:keepLines/>
        <w:widowControl w:val="0"/>
        <w:spacing w:line="560" w:lineRule="exact"/>
        <w:ind w:firstLine="640" w:firstLineChars="200"/>
        <w:jc w:val="both"/>
        <w:outlineLvl w:val="3"/>
        <w:rPr>
          <w:rFonts w:hint="eastAsia" w:ascii="仿宋_GB2312" w:hAnsi="仿宋_GB2312" w:eastAsia="仿宋_GB2312" w:cs="仿宋_GB2312"/>
          <w:bCs/>
          <w:kern w:val="2"/>
          <w:sz w:val="32"/>
          <w:szCs w:val="28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参赛团队要求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</w:rPr>
        <w:t>参赛项目由专利申请人（专利权人）（单位或个人）报名参加，或由专利申请人（专利权人）（单位或个人）与合作的知识产权服务机构、知识产权运营机构联合参赛。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</w:rPr>
        <w:t>参赛团队应当包括参赛项目核心专利的申请人（专利权人），如果参赛项目核心专利为多个申请人（专利权人）且不能全部参赛的，参赛团队应获得其他申请人（专利权人）的书面同意。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</w:rPr>
        <w:t>全国范围内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</w:rPr>
        <w:t>注册企业、高校、科研院所，以及中国公民，符合条件的均可报名参赛。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</w:rPr>
        <w:t>同一参赛团队可以申报多个项目，但最多可以同时入围决赛2个项目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</w:rPr>
        <w:t>同一团队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既</w:t>
      </w:r>
      <w:r>
        <w:rPr>
          <w:rFonts w:hint="eastAsia" w:ascii="仿宋_GB2312" w:hAnsi="仿宋_GB2312" w:eastAsia="仿宋_GB2312" w:cs="仿宋_GB2312"/>
          <w:sz w:val="32"/>
        </w:rPr>
        <w:t>包括同一集团公司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又包括</w:t>
      </w:r>
      <w:r>
        <w:rPr>
          <w:rFonts w:hint="eastAsia" w:ascii="仿宋_GB2312" w:hAnsi="仿宋_GB2312" w:eastAsia="仿宋_GB2312" w:cs="仿宋_GB2312"/>
          <w:sz w:val="32"/>
        </w:rPr>
        <w:t>其全资子公司。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200" w:right="0" w:rightChars="0" w:firstLine="320" w:firstLineChars="100"/>
        <w:textAlignment w:val="auto"/>
        <w:rPr>
          <w:rFonts w:hint="eastAsia" w:ascii="黑体" w:hAnsi="黑体" w:eastAsia="黑体" w:cs="Times New Roman"/>
          <w:bCs/>
          <w:color w:val="auto"/>
          <w:kern w:val="44"/>
          <w:sz w:val="32"/>
          <w:szCs w:val="44"/>
          <w:lang w:val="en-US" w:eastAsia="zh-CN" w:bidi="ar-SA"/>
        </w:rPr>
      </w:pPr>
      <w:r>
        <w:rPr>
          <w:rFonts w:hint="eastAsia" w:ascii="黑体" w:hAnsi="黑体" w:cs="Times New Roman"/>
          <w:bCs/>
          <w:color w:val="auto"/>
          <w:kern w:val="44"/>
          <w:sz w:val="32"/>
          <w:szCs w:val="44"/>
          <w:lang w:val="en-US" w:eastAsia="zh-CN" w:bidi="ar-SA"/>
        </w:rPr>
        <w:t>五</w:t>
      </w:r>
      <w:r>
        <w:rPr>
          <w:rFonts w:hint="eastAsia" w:ascii="黑体" w:hAnsi="黑体" w:eastAsia="黑体" w:cs="Times New Roman"/>
          <w:bCs/>
          <w:color w:val="auto"/>
          <w:kern w:val="44"/>
          <w:sz w:val="32"/>
          <w:szCs w:val="44"/>
          <w:lang w:val="en-US" w:eastAsia="zh-CN" w:bidi="ar-SA"/>
        </w:rPr>
        <w:t>、报名方式</w:t>
      </w:r>
    </w:p>
    <w:p>
      <w:pPr>
        <w:spacing w:line="57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符合报名条件的参赛团队请登录“新高赛”官方网站(http://www.xingaosai.com)，下载并填写报名表、参赛项目专利布局清单，请于2024年6月11日前将电子版报名材料（单位需加盖公章）上传到官网报名通道。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200" w:right="0" w:rightChars="0" w:firstLine="320" w:firstLineChars="100"/>
        <w:textAlignment w:val="auto"/>
        <w:rPr>
          <w:rFonts w:hint="eastAsia" w:ascii="黑体" w:hAnsi="黑体" w:eastAsia="黑体" w:cs="Times New Roman"/>
          <w:bCs/>
          <w:color w:val="auto"/>
          <w:kern w:val="44"/>
          <w:sz w:val="32"/>
          <w:szCs w:val="44"/>
          <w:lang w:val="en-US" w:eastAsia="zh-CN" w:bidi="ar-SA"/>
        </w:rPr>
      </w:pPr>
      <w:r>
        <w:rPr>
          <w:rFonts w:hint="eastAsia" w:ascii="黑体" w:hAnsi="黑体" w:cs="Times New Roman"/>
          <w:bCs/>
          <w:color w:val="auto"/>
          <w:kern w:val="44"/>
          <w:sz w:val="32"/>
          <w:szCs w:val="44"/>
          <w:lang w:val="en-US" w:eastAsia="zh-CN" w:bidi="ar-SA"/>
        </w:rPr>
        <w:t>六、</w:t>
      </w:r>
      <w:r>
        <w:rPr>
          <w:rFonts w:hint="eastAsia" w:ascii="黑体" w:hAnsi="黑体" w:eastAsia="黑体" w:cs="Times New Roman"/>
          <w:bCs/>
          <w:color w:val="auto"/>
          <w:kern w:val="44"/>
          <w:sz w:val="32"/>
          <w:szCs w:val="44"/>
          <w:lang w:val="en-US" w:eastAsia="zh-CN" w:bidi="ar-SA"/>
        </w:rPr>
        <w:t>大赛服务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项目征集阶段将为意向参赛团队提供咨询服务，为参赛单位填写报名表提供帮助。</w:t>
      </w:r>
    </w:p>
    <w:p>
      <w:pPr>
        <w:spacing w:line="57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复赛、决赛前组织赛前说明会，为入围的参赛团队提供详尽参赛辅导，对复赛和决赛的赛制、比赛流程、评分要点、参赛材料要求和注意事项等内容予以充分说明。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赛后将开展高价值专利培育相关知识的讲座。邀请专家围绕专利培育、专利布局策略、海外维权等内容进行专题培训。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/>
    <w:p/>
    <w:p/>
    <w:sectPr>
      <w:pgSz w:w="11906" w:h="16838"/>
      <w:pgMar w:top="2098" w:right="1417" w:bottom="164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NGIzOWNmMTdmOTJlOWMxMzVjY2ZmMjczNmU2ODQifQ=="/>
  </w:docVars>
  <w:rsids>
    <w:rsidRoot w:val="00000000"/>
    <w:rsid w:val="15655B26"/>
    <w:rsid w:val="39242711"/>
    <w:rsid w:val="69AF19F9"/>
    <w:rsid w:val="717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line="640" w:lineRule="exact"/>
      <w:ind w:firstLine="880" w:firstLineChars="200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4">
    <w:name w:val="heading 2"/>
    <w:basedOn w:val="1"/>
    <w:next w:val="1"/>
    <w:autoRedefine/>
    <w:unhideWhenUsed/>
    <w:qFormat/>
    <w:uiPriority w:val="9"/>
    <w:pPr>
      <w:keepNext/>
      <w:keepLines/>
      <w:spacing w:line="640" w:lineRule="exact"/>
      <w:ind w:firstLine="880" w:firstLineChars="200"/>
      <w:outlineLvl w:val="1"/>
    </w:pPr>
    <w:rPr>
      <w:rFonts w:eastAsia="楷体" w:asciiTheme="majorAscii" w:hAnsiTheme="majorAscii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99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2024-04-23T02:37:00Z</dcterms:created>
  <dc:creator>HP</dc:creator>
  <cp:lastModifiedBy>庄文</cp:lastModifiedBy>
  <cp:lastPrinted>2024-04-23T08:52:51Z</cp:lastPrinted>
  <dcterms:modified xsi:type="dcterms:W3CDTF">2024-04-23T08:55:14Z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A33AA6D5103543359E02D5473669BBAC_12</vt:lpwstr>
  </property>
</Properties>
</file>