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after="0"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</w:rPr>
        <w:t>博鳌亚洲论坛全球健康博览会参展手册</w:t>
      </w:r>
    </w:p>
    <w:p>
      <w:pPr>
        <w:spacing w:after="0" w:line="560" w:lineRule="exact"/>
        <w:jc w:val="center"/>
        <w:rPr>
          <w:rFonts w:ascii="楷体_GB2312" w:eastAsia="楷体_GB2312" w:hAnsiTheme="minorEastAsia"/>
          <w:sz w:val="44"/>
          <w:szCs w:val="44"/>
        </w:rPr>
      </w:pPr>
      <w:r>
        <w:rPr>
          <w:rFonts w:hint="eastAsia" w:ascii="楷体_GB2312" w:eastAsia="楷体_GB2312" w:hAnsiTheme="minorEastAsia"/>
          <w:sz w:val="44"/>
          <w:szCs w:val="44"/>
        </w:rPr>
        <w:t>（仅限青岛地区和山东省内使用）</w:t>
      </w:r>
    </w:p>
    <w:p>
      <w:pPr>
        <w:spacing w:after="0" w:line="560" w:lineRule="exact"/>
        <w:ind w:firstLine="2080" w:firstLineChars="650"/>
        <w:jc w:val="both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 xml:space="preserve">时间：2019年6月10日-12日  </w:t>
      </w:r>
    </w:p>
    <w:p>
      <w:pPr>
        <w:spacing w:after="0" w:line="560" w:lineRule="exact"/>
        <w:ind w:firstLine="2080" w:firstLineChars="650"/>
        <w:jc w:val="both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地点：青岛中铁世界博览城</w:t>
      </w:r>
    </w:p>
    <w:p>
      <w:pPr>
        <w:spacing w:after="0" w:line="560" w:lineRule="exact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博鳌亚洲论坛全球健康论坛大会定于2019年6月10至12日，以“健康无处不在，可持续发展的2030 年代”为主题，在中国青岛举办首届大会。届时，世界卫生组织、国家卫生健康委员会、国家市场监督管理总局、国家医疗保障局、国家中医药管理局和多国政府卫生主管部门将全程参加，世界医学领域权威专家，知名医院管理人士和部分世界500 强企业领导者也将云集大会。</w:t>
      </w:r>
    </w:p>
    <w:p>
      <w:pPr>
        <w:spacing w:after="0" w:line="560" w:lineRule="exact"/>
        <w:ind w:firstLine="640" w:firstLineChars="200"/>
        <w:jc w:val="both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大会期间，将同步举办全球健康博览会，召集世界与中国医药卫生行业和大健康跨界领域著名企业参展，着力打造具有顶级影响力的国际健康产业展示平台，充分展示大健康领域的全产业链结构，积极创造产业范畴内和跨界运营的合作商机。此次博览会由博鳌亚洲论坛和山东省人民政府联合主办，博鳌亚洲论坛全球健康论坛大会组委会和青岛市人民政府承办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一、</w:t>
      </w:r>
      <w:r>
        <w:rPr>
          <w:rFonts w:ascii="黑体" w:hAnsi="黑体" w:eastAsia="黑体" w:cs="楷体"/>
          <w:sz w:val="32"/>
          <w:szCs w:val="32"/>
        </w:rPr>
        <w:t>省内企业参展优惠政策</w:t>
      </w:r>
    </w:p>
    <w:p>
      <w:pPr>
        <w:spacing w:after="0" w:line="560" w:lineRule="exact"/>
        <w:ind w:firstLine="640" w:firstLineChars="200"/>
        <w:jc w:val="both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为借助此次大会更好的宣传青岛和山东省内医养健康、医疗服务、医疗器械、生物医药、智慧养老、科研院所、协会组织、医疗机构、产业园区等相关行业企业，青岛及山东省内相关企业享受优惠参展政策如下：</w:t>
      </w:r>
    </w:p>
    <w:tbl>
      <w:tblPr>
        <w:tblStyle w:val="7"/>
        <w:tblpPr w:leftFromText="180" w:rightFromText="180" w:vertAnchor="text" w:horzAnchor="page" w:tblpX="1574" w:tblpY="333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977"/>
        <w:gridCol w:w="9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展位形式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金额(元)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席数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优惠折扣及金额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代表团展位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RMB</w:t>
            </w:r>
            <w:r>
              <w:rPr>
                <w:rFonts w:ascii="仿宋_GB2312" w:hAnsi="Calibri" w:eastAsia="仿宋_GB2312"/>
                <w:sz w:val="24"/>
              </w:rPr>
              <w:t xml:space="preserve"> 3,000,000/(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4折</w:t>
            </w:r>
            <w:r>
              <w:rPr>
                <w:rFonts w:ascii="仿宋_GB2312" w:hAnsi="Calibri" w:eastAsia="仿宋_GB2312"/>
                <w:sz w:val="24"/>
              </w:rPr>
              <w:t>，</w:t>
            </w:r>
            <w:r>
              <w:rPr>
                <w:rFonts w:hint="eastAsia" w:ascii="仿宋_GB2312" w:hAnsi="Calibri" w:eastAsia="仿宋_GB2312"/>
                <w:sz w:val="24"/>
              </w:rPr>
              <w:t>1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200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VIP100m</w:t>
            </w:r>
            <w:r>
              <w:rPr>
                <w:rFonts w:hint="eastAsia" w:ascii="仿宋_GB2312" w:hAnsi="Calibri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RMB 1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200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  <w:r>
              <w:rPr>
                <w:rFonts w:ascii="仿宋_GB2312" w:hAnsi="Calibri" w:eastAsia="仿宋_GB2312"/>
                <w:sz w:val="24"/>
              </w:rPr>
              <w:t>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4折</w:t>
            </w:r>
            <w:r>
              <w:rPr>
                <w:rFonts w:ascii="仿宋_GB2312" w:hAnsi="Calibri" w:eastAsia="仿宋_GB2312"/>
                <w:sz w:val="24"/>
              </w:rPr>
              <w:t>，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480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特装80 m</w:t>
            </w:r>
            <w:r>
              <w:rPr>
                <w:rFonts w:hint="eastAsia" w:ascii="仿宋_GB2312" w:hAnsi="Calibri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RMB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960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  <w:r>
              <w:rPr>
                <w:rFonts w:ascii="仿宋_GB2312" w:hAnsi="Calibri" w:eastAsia="仿宋_GB2312"/>
                <w:sz w:val="24"/>
              </w:rPr>
              <w:t>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5折</w:t>
            </w:r>
            <w:r>
              <w:rPr>
                <w:rFonts w:ascii="仿宋_GB2312" w:hAnsi="Calibri" w:eastAsia="仿宋_GB2312"/>
                <w:sz w:val="24"/>
              </w:rPr>
              <w:t>，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480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特装60 m</w:t>
            </w:r>
            <w:r>
              <w:rPr>
                <w:rFonts w:hint="eastAsia" w:ascii="仿宋_GB2312" w:hAnsi="Calibri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RMB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720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  <w:r>
              <w:rPr>
                <w:rFonts w:ascii="仿宋_GB2312" w:hAnsi="Calibri" w:eastAsia="仿宋_GB2312"/>
                <w:sz w:val="24"/>
              </w:rPr>
              <w:t>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28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5折</w:t>
            </w:r>
            <w:r>
              <w:rPr>
                <w:rFonts w:ascii="仿宋_GB2312" w:hAnsi="Calibri" w:eastAsia="仿宋_GB2312"/>
                <w:sz w:val="24"/>
              </w:rPr>
              <w:t>，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360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精装45 m</w:t>
            </w:r>
            <w:r>
              <w:rPr>
                <w:rFonts w:hint="eastAsia" w:ascii="仿宋_GB2312" w:hAnsi="Calibri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RMB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450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  <w:r>
              <w:rPr>
                <w:rFonts w:ascii="仿宋_GB2312" w:hAnsi="Calibri" w:eastAsia="仿宋_GB2312"/>
                <w:sz w:val="24"/>
              </w:rPr>
              <w:t>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48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5折</w:t>
            </w:r>
            <w:r>
              <w:rPr>
                <w:rFonts w:ascii="仿宋_GB2312" w:hAnsi="Calibri" w:eastAsia="仿宋_GB2312"/>
                <w:sz w:val="24"/>
              </w:rPr>
              <w:t>，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225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精装36 m</w:t>
            </w:r>
            <w:r>
              <w:rPr>
                <w:rFonts w:hint="eastAsia" w:ascii="仿宋_GB2312" w:hAnsi="Calibri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RMB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360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  <w:r>
              <w:rPr>
                <w:rFonts w:ascii="仿宋_GB2312" w:hAnsi="Calibri" w:eastAsia="仿宋_GB2312"/>
                <w:sz w:val="24"/>
              </w:rPr>
              <w:t>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58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5折，  180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标准27 m</w:t>
            </w:r>
            <w:r>
              <w:rPr>
                <w:rFonts w:hint="eastAsia" w:ascii="仿宋_GB2312" w:hAnsi="Calibri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RMB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140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  <w:r>
              <w:rPr>
                <w:rFonts w:ascii="仿宋_GB2312" w:hAnsi="Calibri" w:eastAsia="仿宋_GB2312"/>
                <w:sz w:val="24"/>
              </w:rPr>
              <w:t>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168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3折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42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标准18 m</w:t>
            </w:r>
            <w:r>
              <w:rPr>
                <w:rFonts w:hint="eastAsia" w:ascii="仿宋_GB2312" w:hAnsi="Calibri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Calibri" w:eastAsia="仿宋_GB2312"/>
                <w:sz w:val="24"/>
              </w:rPr>
              <w:t>展位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560" w:lineRule="exact"/>
              <w:ind w:right="-99" w:rightChars="-45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RMB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80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  <w:r>
              <w:rPr>
                <w:rFonts w:ascii="仿宋_GB2312" w:hAnsi="Calibri" w:eastAsia="仿宋_GB2312"/>
                <w:sz w:val="24"/>
              </w:rPr>
              <w:t>/(</w:t>
            </w:r>
            <w:r>
              <w:rPr>
                <w:rFonts w:hint="eastAsia" w:ascii="仿宋_GB2312" w:hAnsi="Calibri" w:eastAsia="仿宋_GB2312"/>
                <w:sz w:val="24"/>
              </w:rPr>
              <w:t>展期</w:t>
            </w:r>
            <w:r>
              <w:rPr>
                <w:rFonts w:ascii="仿宋_GB2312" w:hAnsi="Calibri" w:eastAsia="仿宋_GB2312"/>
                <w:sz w:val="24"/>
              </w:rPr>
              <w:t>·个</w:t>
            </w:r>
            <w:r>
              <w:rPr>
                <w:rFonts w:hint="eastAsia" w:ascii="仿宋_GB2312" w:hAnsi="Calibri" w:eastAsia="仿宋_GB2312"/>
                <w:sz w:val="24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78</w:t>
            </w:r>
          </w:p>
        </w:tc>
        <w:tc>
          <w:tcPr>
            <w:tcW w:w="2274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3折，   24</w:t>
            </w:r>
            <w:r>
              <w:rPr>
                <w:rFonts w:ascii="仿宋_GB2312" w:hAnsi="Calibri" w:eastAsia="仿宋_GB2312"/>
                <w:sz w:val="24"/>
              </w:rPr>
              <w:t>,</w:t>
            </w:r>
            <w:r>
              <w:rPr>
                <w:rFonts w:hint="eastAsia" w:ascii="仿宋_GB2312" w:hAnsi="Calibri" w:eastAsia="仿宋_GB2312"/>
                <w:sz w:val="24"/>
              </w:rPr>
              <w:t>000</w:t>
            </w:r>
          </w:p>
        </w:tc>
      </w:tr>
    </w:tbl>
    <w:p>
      <w:pPr>
        <w:spacing w:after="0" w:line="560" w:lineRule="exact"/>
        <w:ind w:firstLine="640" w:firstLineChars="200"/>
        <w:jc w:val="both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二、</w:t>
      </w:r>
      <w:r>
        <w:rPr>
          <w:rFonts w:ascii="黑体" w:hAnsi="黑体" w:eastAsia="黑体" w:cs="楷体"/>
          <w:sz w:val="32"/>
          <w:szCs w:val="32"/>
        </w:rPr>
        <w:t>参展须知</w:t>
      </w:r>
    </w:p>
    <w:p>
      <w:pPr>
        <w:spacing w:after="0" w:line="560" w:lineRule="exact"/>
        <w:ind w:firstLine="643" w:firstLineChars="200"/>
        <w:jc w:val="both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1.参展资质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（1）申请</w:t>
      </w:r>
      <w:r>
        <w:rPr>
          <w:rFonts w:ascii="仿宋_GB2312" w:hAnsi="黑体" w:eastAsia="仿宋_GB2312" w:cs="楷体"/>
          <w:sz w:val="32"/>
          <w:szCs w:val="32"/>
        </w:rPr>
        <w:t>单位必须为合法的独立机构，最近</w:t>
      </w:r>
      <w:r>
        <w:rPr>
          <w:rFonts w:hint="eastAsia" w:ascii="仿宋_GB2312" w:hAnsi="黑体" w:eastAsia="仿宋_GB2312" w:cs="楷体"/>
          <w:sz w:val="32"/>
          <w:szCs w:val="32"/>
        </w:rPr>
        <w:t>5年</w:t>
      </w:r>
      <w:r>
        <w:rPr>
          <w:rFonts w:ascii="仿宋_GB2312" w:hAnsi="黑体" w:eastAsia="仿宋_GB2312" w:cs="楷体"/>
          <w:sz w:val="32"/>
          <w:szCs w:val="32"/>
        </w:rPr>
        <w:t>内未</w:t>
      </w:r>
      <w:r>
        <w:rPr>
          <w:rFonts w:hint="eastAsia" w:ascii="仿宋_GB2312" w:hAnsi="黑体" w:eastAsia="仿宋_GB2312" w:cs="楷体"/>
          <w:sz w:val="32"/>
          <w:szCs w:val="32"/>
        </w:rPr>
        <w:t>受到</w:t>
      </w:r>
      <w:r>
        <w:rPr>
          <w:rFonts w:ascii="仿宋_GB2312" w:hAnsi="黑体" w:eastAsia="仿宋_GB2312" w:cs="楷体"/>
          <w:sz w:val="32"/>
          <w:szCs w:val="32"/>
        </w:rPr>
        <w:t>行政管理部门、自律监管机构行政处罚、无违法记录、无其他诚信不良记录</w:t>
      </w:r>
      <w:r>
        <w:rPr>
          <w:rFonts w:hint="eastAsia" w:ascii="仿宋_GB2312" w:hAnsi="黑体" w:eastAsia="仿宋_GB2312" w:cs="楷体"/>
          <w:sz w:val="32"/>
          <w:szCs w:val="32"/>
        </w:rPr>
        <w:t>、未</w:t>
      </w:r>
      <w:r>
        <w:rPr>
          <w:rFonts w:ascii="仿宋_GB2312" w:hAnsi="黑体" w:eastAsia="仿宋_GB2312" w:cs="楷体"/>
          <w:sz w:val="32"/>
          <w:szCs w:val="32"/>
        </w:rPr>
        <w:t>因涉嫌违法违规行为被立案调查、侦查且尚未结案、严禁烟</w:t>
      </w:r>
      <w:r>
        <w:rPr>
          <w:rFonts w:hint="eastAsia" w:ascii="仿宋_GB2312" w:hAnsi="黑体" w:eastAsia="仿宋_GB2312" w:cs="楷体"/>
          <w:sz w:val="32"/>
          <w:szCs w:val="32"/>
        </w:rPr>
        <w:t>、</w:t>
      </w:r>
      <w:r>
        <w:rPr>
          <w:rFonts w:ascii="仿宋_GB2312" w:hAnsi="黑体" w:eastAsia="仿宋_GB2312" w:cs="楷体"/>
          <w:sz w:val="32"/>
          <w:szCs w:val="32"/>
        </w:rPr>
        <w:t>酒</w:t>
      </w:r>
      <w:r>
        <w:rPr>
          <w:rFonts w:hint="eastAsia" w:ascii="仿宋_GB2312" w:hAnsi="黑体" w:eastAsia="仿宋_GB2312" w:cs="楷体"/>
          <w:sz w:val="32"/>
          <w:szCs w:val="32"/>
        </w:rPr>
        <w:t>、</w:t>
      </w:r>
      <w:r>
        <w:rPr>
          <w:rFonts w:ascii="仿宋_GB2312" w:hAnsi="黑体" w:eastAsia="仿宋_GB2312" w:cs="楷体"/>
          <w:sz w:val="32"/>
          <w:szCs w:val="32"/>
        </w:rPr>
        <w:t>军火行业参展；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（2）企业依托</w:t>
      </w:r>
      <w:r>
        <w:rPr>
          <w:rFonts w:ascii="仿宋_GB2312" w:hAnsi="黑体" w:eastAsia="仿宋_GB2312" w:cs="楷体"/>
          <w:sz w:val="32"/>
          <w:szCs w:val="32"/>
        </w:rPr>
        <w:t>全球</w:t>
      </w:r>
      <w:r>
        <w:rPr>
          <w:rFonts w:hint="eastAsia" w:ascii="仿宋_GB2312" w:hAnsi="黑体" w:eastAsia="仿宋_GB2312" w:cs="楷体"/>
          <w:sz w:val="32"/>
          <w:szCs w:val="32"/>
        </w:rPr>
        <w:t>博鳌亚洲论坛全球健康博览会所展示</w:t>
      </w:r>
      <w:r>
        <w:rPr>
          <w:rFonts w:ascii="仿宋_GB2312" w:hAnsi="黑体" w:eastAsia="仿宋_GB2312" w:cs="楷体"/>
          <w:sz w:val="32"/>
          <w:szCs w:val="32"/>
        </w:rPr>
        <w:t>宣传的产品和</w:t>
      </w:r>
      <w:r>
        <w:rPr>
          <w:rFonts w:hint="eastAsia" w:ascii="仿宋_GB2312" w:hAnsi="黑体" w:eastAsia="仿宋_GB2312" w:cs="楷体"/>
          <w:sz w:val="32"/>
          <w:szCs w:val="32"/>
        </w:rPr>
        <w:t>技术</w:t>
      </w:r>
      <w:r>
        <w:rPr>
          <w:rFonts w:ascii="仿宋_GB2312" w:hAnsi="黑体" w:eastAsia="仿宋_GB2312" w:cs="楷体"/>
          <w:sz w:val="32"/>
          <w:szCs w:val="32"/>
        </w:rPr>
        <w:t>，必须已取得生产许可（</w:t>
      </w:r>
      <w:r>
        <w:rPr>
          <w:rFonts w:hint="eastAsia" w:ascii="仿宋_GB2312" w:hAnsi="黑体" w:eastAsia="仿宋_GB2312" w:cs="楷体"/>
          <w:sz w:val="32"/>
          <w:szCs w:val="32"/>
        </w:rPr>
        <w:t>如需</w:t>
      </w:r>
      <w:r>
        <w:rPr>
          <w:rFonts w:ascii="仿宋_GB2312" w:hAnsi="黑体" w:eastAsia="仿宋_GB2312" w:cs="楷体"/>
          <w:sz w:val="32"/>
          <w:szCs w:val="32"/>
        </w:rPr>
        <w:t>）</w:t>
      </w:r>
      <w:r>
        <w:rPr>
          <w:rFonts w:hint="eastAsia" w:ascii="仿宋_GB2312" w:hAnsi="黑体" w:eastAsia="仿宋_GB2312" w:cs="楷体"/>
          <w:sz w:val="32"/>
          <w:szCs w:val="32"/>
        </w:rPr>
        <w:t>，</w:t>
      </w:r>
      <w:r>
        <w:rPr>
          <w:rFonts w:ascii="仿宋_GB2312" w:hAnsi="黑体" w:eastAsia="仿宋_GB2312" w:cs="楷体"/>
          <w:sz w:val="32"/>
          <w:szCs w:val="32"/>
        </w:rPr>
        <w:t>是经过国家相关部门</w:t>
      </w:r>
      <w:r>
        <w:rPr>
          <w:rFonts w:hint="eastAsia" w:ascii="仿宋_GB2312" w:hAnsi="黑体" w:eastAsia="仿宋_GB2312" w:cs="楷体"/>
          <w:sz w:val="32"/>
          <w:szCs w:val="32"/>
        </w:rPr>
        <w:t>正式</w:t>
      </w:r>
      <w:r>
        <w:rPr>
          <w:rFonts w:ascii="仿宋_GB2312" w:hAnsi="黑体" w:eastAsia="仿宋_GB2312" w:cs="楷体"/>
          <w:sz w:val="32"/>
          <w:szCs w:val="32"/>
        </w:rPr>
        <w:t>批准生产或销售的</w:t>
      </w:r>
      <w:r>
        <w:rPr>
          <w:rFonts w:hint="eastAsia" w:ascii="仿宋_GB2312" w:hAnsi="黑体" w:eastAsia="仿宋_GB2312" w:cs="楷体"/>
          <w:sz w:val="32"/>
          <w:szCs w:val="32"/>
        </w:rPr>
        <w:t>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（3）企业依托大会平台所发表的言论必须经大会组委会审核通过；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（4）服从大会整体工作安排；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（5）为国内的外知名企业，并拥有领先的健康科技及技术，热心公益事业的单位优先考虑。</w:t>
      </w:r>
    </w:p>
    <w:p>
      <w:pPr>
        <w:spacing w:after="0" w:line="560" w:lineRule="exact"/>
        <w:ind w:firstLine="643" w:firstLineChars="200"/>
        <w:jc w:val="both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2.参展流程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（1）意向单位请准备如下参展材料：</w:t>
      </w:r>
    </w:p>
    <w:p>
      <w:pPr>
        <w:spacing w:after="0" w:line="560" w:lineRule="exact"/>
        <w:ind w:firstLine="960" w:firstLineChars="3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①填写申报表（详见附件）</w:t>
      </w:r>
    </w:p>
    <w:p>
      <w:pPr>
        <w:spacing w:after="0" w:line="560" w:lineRule="exact"/>
        <w:ind w:firstLine="960" w:firstLineChars="3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②企业品牌标示，企业简介，董事长简介</w:t>
      </w:r>
    </w:p>
    <w:p>
      <w:pPr>
        <w:spacing w:after="0" w:line="560" w:lineRule="exact"/>
        <w:ind w:firstLine="960" w:firstLineChars="3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③企业营业执照副本复印件及法定代表人或主要负责人身份证复印件，企业技术专利证书复印件；</w:t>
      </w:r>
    </w:p>
    <w:p>
      <w:pPr>
        <w:spacing w:after="0" w:line="560" w:lineRule="exact"/>
        <w:ind w:firstLine="989" w:firstLineChars="309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以上材料盖章后发送邮箱或传真至：</w:t>
      </w:r>
    </w:p>
    <w:p>
      <w:pPr>
        <w:spacing w:after="0" w:line="560" w:lineRule="exact"/>
        <w:ind w:firstLine="989" w:firstLineChars="309"/>
        <w:jc w:val="both"/>
        <w:rPr>
          <w:rFonts w:ascii="仿宋_GB2312" w:hAnsi="黑体" w:eastAsia="仿宋_GB2312" w:cs="楷体"/>
          <w:color w:val="FF0000"/>
          <w:sz w:val="32"/>
          <w:szCs w:val="32"/>
        </w:rPr>
      </w:pPr>
      <w:r>
        <w:rPr>
          <w:rFonts w:hint="eastAsia" w:ascii="仿宋_GB2312" w:hAnsi="黑体" w:eastAsia="仿宋_GB2312" w:cs="楷体"/>
          <w:color w:val="FF0000"/>
          <w:sz w:val="32"/>
          <w:szCs w:val="32"/>
        </w:rPr>
        <w:t>（请各成员单位填写单位邮箱和传真）；</w:t>
      </w:r>
    </w:p>
    <w:p>
      <w:pPr>
        <w:spacing w:after="0" w:line="560" w:lineRule="exact"/>
        <w:ind w:left="990" w:leftChars="450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（2）初步审核：根据申报材料，组委会审核小组进行初步审核；</w:t>
      </w:r>
    </w:p>
    <w:p>
      <w:pPr>
        <w:spacing w:after="0" w:line="560" w:lineRule="exact"/>
        <w:ind w:left="990" w:leftChars="450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（3）审核通过：组委会招商组与企业确认参展权益；</w:t>
      </w:r>
    </w:p>
    <w:p>
      <w:pPr>
        <w:spacing w:after="0" w:line="560" w:lineRule="exact"/>
        <w:ind w:firstLine="960" w:firstLineChars="3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（4）企业公示：对确认参会企业在GHF大会官网公示。</w:t>
      </w:r>
    </w:p>
    <w:p>
      <w:pPr>
        <w:spacing w:after="0" w:line="560" w:lineRule="exact"/>
        <w:ind w:firstLine="964" w:firstLineChars="3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3.缴费说明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（1）按照组委会指定账号付款；</w:t>
      </w:r>
    </w:p>
    <w:p>
      <w:pPr>
        <w:spacing w:after="0" w:line="560" w:lineRule="exact"/>
        <w:ind w:firstLine="640" w:firstLineChars="200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（2）本手册</w:t>
      </w:r>
      <w:r>
        <w:rPr>
          <w:rFonts w:hint="eastAsia" w:ascii="仿宋_GB2312" w:hAnsi="楷体" w:eastAsia="仿宋_GB2312" w:cs="楷体"/>
          <w:sz w:val="32"/>
          <w:szCs w:val="32"/>
        </w:rPr>
        <w:t>优惠参展政策</w:t>
      </w:r>
      <w:r>
        <w:rPr>
          <w:rFonts w:hint="eastAsia" w:ascii="仿宋_GB2312" w:hAnsi="黑体" w:eastAsia="仿宋_GB2312" w:cs="楷体"/>
          <w:sz w:val="32"/>
          <w:szCs w:val="32"/>
        </w:rPr>
        <w:t>仅限青岛及山东省内行业企业享受；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（3）符合优惠条件的参展商按照折后价格缴费；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（4）所有参展商均需缴纳总款项的60%以上为预付款；</w:t>
      </w:r>
    </w:p>
    <w:p>
      <w:pPr>
        <w:spacing w:after="0" w:line="560" w:lineRule="exact"/>
        <w:ind w:firstLine="640" w:firstLineChars="2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（5）参展商在得到组委会确认后，在签订参展协议后7个工作日内交付全款（或预付款）；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（6）剩余尾款必须在2019年5月26日前全部结清；</w:t>
      </w:r>
    </w:p>
    <w:p>
      <w:pPr>
        <w:spacing w:after="0" w:line="560" w:lineRule="exact"/>
        <w:ind w:firstLine="645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（7）参展商需以人民币汇款。</w:t>
      </w:r>
    </w:p>
    <w:p>
      <w:pPr>
        <w:spacing w:after="0" w:line="560" w:lineRule="exact"/>
        <w:ind w:firstLine="643" w:firstLineChars="200"/>
        <w:jc w:val="both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4.联系方式</w:t>
      </w:r>
    </w:p>
    <w:p>
      <w:pPr>
        <w:spacing w:after="0" w:line="560" w:lineRule="exact"/>
        <w:ind w:firstLine="640" w:firstLineChars="2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联系</w:t>
      </w:r>
      <w:r>
        <w:rPr>
          <w:rFonts w:ascii="仿宋_GB2312" w:hAnsi="黑体" w:eastAsia="仿宋_GB2312" w:cs="楷体"/>
          <w:sz w:val="32"/>
          <w:szCs w:val="32"/>
        </w:rPr>
        <w:t>单位：</w:t>
      </w:r>
      <w:r>
        <w:rPr>
          <w:rFonts w:hint="eastAsia" w:ascii="仿宋_GB2312" w:hAnsi="黑体" w:eastAsia="仿宋_GB2312" w:cs="楷体"/>
          <w:sz w:val="32"/>
          <w:szCs w:val="32"/>
        </w:rPr>
        <w:t>青岛西发旅游投资（集团）有限公司</w:t>
      </w:r>
    </w:p>
    <w:p>
      <w:pPr>
        <w:spacing w:after="0" w:line="560" w:lineRule="exact"/>
        <w:ind w:firstLine="640" w:firstLineChars="2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联系人</w:t>
      </w:r>
      <w:r>
        <w:rPr>
          <w:rFonts w:ascii="仿宋_GB2312" w:hAnsi="黑体" w:eastAsia="仿宋_GB2312" w:cs="楷体"/>
          <w:sz w:val="32"/>
          <w:szCs w:val="32"/>
        </w:rPr>
        <w:t>：</w:t>
      </w:r>
      <w:r>
        <w:rPr>
          <w:rFonts w:hint="eastAsia" w:ascii="仿宋_GB2312" w:hAnsi="黑体" w:eastAsia="仿宋_GB2312" w:cs="楷体"/>
          <w:sz w:val="32"/>
          <w:szCs w:val="32"/>
        </w:rPr>
        <w:t>牟军健（经理） 联系</w:t>
      </w:r>
      <w:r>
        <w:rPr>
          <w:rFonts w:ascii="仿宋_GB2312" w:hAnsi="黑体" w:eastAsia="仿宋_GB2312" w:cs="楷体"/>
          <w:sz w:val="32"/>
          <w:szCs w:val="32"/>
        </w:rPr>
        <w:t>电话：18560675607</w:t>
      </w:r>
    </w:p>
    <w:p>
      <w:pPr>
        <w:spacing w:after="0" w:line="560" w:lineRule="exact"/>
        <w:ind w:firstLine="640" w:firstLineChars="200"/>
        <w:jc w:val="both"/>
        <w:rPr>
          <w:rFonts w:ascii="仿宋_GB2312" w:hAnsi="黑体" w:eastAsia="仿宋_GB2312" w:cs="楷体"/>
          <w:sz w:val="32"/>
          <w:szCs w:val="32"/>
        </w:rPr>
      </w:pPr>
      <w:r>
        <w:rPr>
          <w:rFonts w:ascii="仿宋_GB2312" w:hAnsi="黑体" w:eastAsia="仿宋_GB2312" w:cs="楷体"/>
          <w:sz w:val="32"/>
          <w:szCs w:val="32"/>
        </w:rPr>
        <w:t xml:space="preserve">                                 0532-55585186</w:t>
      </w:r>
    </w:p>
    <w:p>
      <w:pPr>
        <w:spacing w:after="0" w:line="560" w:lineRule="exact"/>
        <w:ind w:firstLine="562" w:firstLineChars="200"/>
        <w:rPr>
          <w:rFonts w:ascii="仿宋_GB2312" w:hAnsi="楷体" w:eastAsia="仿宋_GB2312" w:cs="楷体"/>
          <w:b/>
          <w:sz w:val="28"/>
          <w:szCs w:val="28"/>
        </w:rPr>
      </w:pPr>
      <w:r>
        <w:rPr>
          <w:rFonts w:hint="eastAsia" w:ascii="仿宋_GB2312" w:hAnsi="楷体" w:eastAsia="仿宋_GB2312" w:cs="楷体"/>
          <w:b/>
          <w:sz w:val="28"/>
          <w:szCs w:val="28"/>
        </w:rPr>
        <w:t>备注：</w:t>
      </w:r>
    </w:p>
    <w:p>
      <w:pPr>
        <w:spacing w:after="0" w:line="560" w:lineRule="exact"/>
        <w:ind w:firstLine="560" w:firstLineChars="200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1.全球健康博览会参展报名截止时间为：2019年5月10日；</w:t>
      </w:r>
    </w:p>
    <w:p>
      <w:pPr>
        <w:spacing w:after="0" w:line="560" w:lineRule="exact"/>
        <w:ind w:firstLine="560" w:firstLineChars="200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2.本次大会展位采取先到先得原则。</w:t>
      </w:r>
    </w:p>
    <w:p>
      <w:pPr>
        <w:spacing w:after="0" w:line="560" w:lineRule="exact"/>
        <w:ind w:firstLine="560" w:firstLineChars="200"/>
        <w:rPr>
          <w:rFonts w:ascii="仿宋_GB2312" w:hAnsi="楷体" w:eastAsia="仿宋_GB2312" w:cs="楷体"/>
          <w:sz w:val="28"/>
          <w:szCs w:val="28"/>
        </w:rPr>
      </w:pPr>
    </w:p>
    <w:p>
      <w:pPr>
        <w:spacing w:after="0" w:line="560" w:lineRule="exact"/>
        <w:ind w:firstLine="480" w:firstLineChars="150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黑体" w:eastAsia="仿宋_GB2312" w:cs="楷体"/>
          <w:sz w:val="32"/>
          <w:szCs w:val="32"/>
        </w:rPr>
        <w:t>我们期待您莅临参展参会！</w:t>
      </w:r>
    </w:p>
    <w:p>
      <w:pPr>
        <w:spacing w:after="0" w:line="560" w:lineRule="exact"/>
        <w:rPr>
          <w:rFonts w:ascii="仿宋_GB2312" w:hAnsi="楷体" w:eastAsia="仿宋_GB2312" w:cs="楷体"/>
          <w:b/>
          <w:sz w:val="32"/>
          <w:szCs w:val="32"/>
        </w:rPr>
      </w:pPr>
    </w:p>
    <w:p>
      <w:pPr>
        <w:spacing w:after="0" w:line="560" w:lineRule="exact"/>
        <w:ind w:firstLine="482" w:firstLineChars="150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附件：1.参展申请表</w:t>
      </w:r>
    </w:p>
    <w:p>
      <w:pPr>
        <w:spacing w:after="0" w:line="560" w:lineRule="exact"/>
        <w:ind w:firstLine="1446" w:firstLineChars="450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2.参展权益</w:t>
      </w:r>
    </w:p>
    <w:p>
      <w:pPr>
        <w:spacing w:after="0" w:line="560" w:lineRule="exact"/>
        <w:ind w:firstLine="1446" w:firstLineChars="450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3.广告服务</w:t>
      </w:r>
    </w:p>
    <w:p>
      <w:pPr>
        <w:spacing w:after="0" w:line="560" w:lineRule="exact"/>
        <w:rPr>
          <w:rFonts w:ascii="仿宋_GB2312" w:hAnsi="楷体" w:eastAsia="仿宋_GB2312" w:cs="楷体"/>
          <w:b/>
          <w:sz w:val="32"/>
          <w:szCs w:val="32"/>
        </w:rPr>
      </w:pPr>
    </w:p>
    <w:p>
      <w:pPr>
        <w:spacing w:after="0" w:line="560" w:lineRule="exact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ascii="仿宋_GB2312" w:hAnsi="楷体" w:eastAsia="仿宋_GB2312" w:cs="楷体"/>
          <w:b/>
          <w:sz w:val="32"/>
          <w:szCs w:val="32"/>
        </w:rPr>
        <w:br w:type="page"/>
      </w:r>
    </w:p>
    <w:p>
      <w:pPr>
        <w:spacing w:after="0" w:line="560" w:lineRule="exact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附件1</w:t>
      </w:r>
    </w:p>
    <w:p>
      <w:pPr>
        <w:spacing w:after="0" w:line="560" w:lineRule="exact"/>
        <w:ind w:firstLine="2641" w:firstLineChars="600"/>
        <w:rPr>
          <w:rFonts w:ascii="方正小标宋_GBK" w:hAnsi="楷体" w:eastAsia="方正小标宋_GBK" w:cs="楷体"/>
          <w:b/>
          <w:sz w:val="44"/>
          <w:szCs w:val="44"/>
        </w:rPr>
      </w:pPr>
      <w:r>
        <w:rPr>
          <w:rFonts w:hint="eastAsia" w:ascii="方正小标宋_GBK" w:hAnsi="楷体" w:eastAsia="方正小标宋_GBK" w:cs="楷体"/>
          <w:b/>
          <w:sz w:val="44"/>
          <w:szCs w:val="44"/>
        </w:rPr>
        <w:t>参展申请表</w:t>
      </w:r>
    </w:p>
    <w:tbl>
      <w:tblPr>
        <w:tblStyle w:val="7"/>
        <w:tblW w:w="9356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388"/>
        <w:gridCol w:w="850"/>
        <w:gridCol w:w="1335"/>
        <w:gridCol w:w="1191"/>
        <w:gridCol w:w="3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F98"/>
          </w:tcPr>
          <w:p>
            <w:pPr>
              <w:pStyle w:val="10"/>
              <w:kinsoku w:val="0"/>
              <w:overflowPunct w:val="0"/>
              <w:spacing w:before="122" w:line="560" w:lineRule="exact"/>
              <w:ind w:left="16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博鳌亚洲论坛全球健康论坛大会</w:t>
            </w:r>
            <w:r>
              <w:rPr>
                <w:rFonts w:hint="eastAsia"/>
                <w:sz w:val="20"/>
                <w:szCs w:val="20"/>
              </w:rPr>
              <w:t>暨全球健康博览会</w:t>
            </w:r>
            <w:r>
              <w:rPr>
                <w:sz w:val="20"/>
                <w:szCs w:val="20"/>
              </w:rPr>
              <w:t>参</w:t>
            </w:r>
            <w:r>
              <w:rPr>
                <w:rFonts w:hint="eastAsia"/>
                <w:sz w:val="20"/>
                <w:szCs w:val="20"/>
              </w:rPr>
              <w:t>展</w:t>
            </w:r>
            <w:r>
              <w:rPr>
                <w:sz w:val="20"/>
                <w:szCs w:val="20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356" w:type="dxa"/>
            <w:gridSpan w:val="6"/>
            <w:tcBorders>
              <w:top w:val="nil"/>
              <w:left w:val="single" w:color="003F98" w:sz="4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before="114" w:line="560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一、企业信息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企业全称</w:t>
            </w:r>
          </w:p>
        </w:tc>
        <w:tc>
          <w:tcPr>
            <w:tcW w:w="3573" w:type="dxa"/>
            <w:gridSpan w:val="3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所属行业</w:t>
            </w:r>
          </w:p>
        </w:tc>
        <w:tc>
          <w:tcPr>
            <w:tcW w:w="3002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英文名称</w:t>
            </w:r>
          </w:p>
        </w:tc>
        <w:tc>
          <w:tcPr>
            <w:tcW w:w="3573" w:type="dxa"/>
            <w:gridSpan w:val="3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成立时间</w:t>
            </w:r>
          </w:p>
        </w:tc>
        <w:tc>
          <w:tcPr>
            <w:tcW w:w="3002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3573" w:type="dxa"/>
            <w:gridSpan w:val="3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3002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负责人</w:t>
            </w:r>
          </w:p>
        </w:tc>
        <w:tc>
          <w:tcPr>
            <w:tcW w:w="1388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 务</w:t>
            </w:r>
          </w:p>
        </w:tc>
        <w:tc>
          <w:tcPr>
            <w:tcW w:w="1335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 机</w:t>
            </w:r>
          </w:p>
        </w:tc>
        <w:tc>
          <w:tcPr>
            <w:tcW w:w="3002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388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 机</w:t>
            </w:r>
          </w:p>
        </w:tc>
        <w:tc>
          <w:tcPr>
            <w:tcW w:w="1335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 真</w:t>
            </w:r>
          </w:p>
        </w:tc>
        <w:tc>
          <w:tcPr>
            <w:tcW w:w="3002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388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 箱</w:t>
            </w:r>
          </w:p>
        </w:tc>
        <w:tc>
          <w:tcPr>
            <w:tcW w:w="1335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143" w:line="560" w:lineRule="exact"/>
              <w:ind w:lef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 址</w:t>
            </w:r>
          </w:p>
        </w:tc>
        <w:tc>
          <w:tcPr>
            <w:tcW w:w="3002" w:type="dxa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line="560" w:lineRule="exact"/>
              <w:rPr>
                <w:rFonts w:ascii="Arial" w:hAnsi="Arial" w:cs="Arial"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line="560" w:lineRule="exact"/>
              <w:rPr>
                <w:rFonts w:ascii="Arial" w:hAnsi="Arial" w:cs="Arial"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line="560" w:lineRule="exact"/>
              <w:rPr>
                <w:rFonts w:ascii="Arial" w:hAnsi="Arial" w:cs="Arial"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before="127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企业参会</w:t>
            </w:r>
          </w:p>
        </w:tc>
        <w:tc>
          <w:tcPr>
            <w:tcW w:w="7766" w:type="dxa"/>
            <w:gridSpan w:val="5"/>
            <w:tcBorders>
              <w:top w:val="single" w:color="003F98" w:sz="2" w:space="0"/>
              <w:left w:val="single" w:color="003F98" w:sz="2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before="76" w:line="560" w:lineRule="exact"/>
              <w:ind w:left="115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●博览会</w:t>
            </w:r>
          </w:p>
          <w:p>
            <w:pPr>
              <w:pStyle w:val="10"/>
              <w:tabs>
                <w:tab w:val="left" w:pos="3544"/>
              </w:tabs>
              <w:kinsoku w:val="0"/>
              <w:overflowPunct w:val="0"/>
              <w:spacing w:before="9" w:line="560" w:lineRule="exact"/>
              <w:ind w:left="115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□标准</w:t>
            </w:r>
            <w:r>
              <w:rPr>
                <w:rFonts w:hint="eastAsia"/>
                <w:w w:val="110"/>
                <w:sz w:val="21"/>
                <w:szCs w:val="21"/>
              </w:rPr>
              <w:t>1</w:t>
            </w:r>
            <w:r>
              <w:rPr>
                <w:w w:val="110"/>
                <w:sz w:val="21"/>
                <w:szCs w:val="21"/>
              </w:rPr>
              <w:t>8</w:t>
            </w:r>
            <w:r>
              <w:rPr>
                <w:rFonts w:hint="eastAsia"/>
                <w:w w:val="110"/>
                <w:sz w:val="21"/>
                <w:szCs w:val="21"/>
              </w:rPr>
              <w:t>㎡</w:t>
            </w:r>
            <w:r>
              <w:rPr>
                <w:w w:val="110"/>
                <w:sz w:val="21"/>
                <w:szCs w:val="21"/>
              </w:rPr>
              <w:t>展位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 xml:space="preserve">     □标准27</w:t>
            </w:r>
            <w:r>
              <w:rPr>
                <w:rFonts w:hint="eastAsia"/>
                <w:w w:val="110"/>
                <w:sz w:val="21"/>
                <w:szCs w:val="21"/>
              </w:rPr>
              <w:t>㎡</w:t>
            </w:r>
            <w:r>
              <w:rPr>
                <w:w w:val="110"/>
                <w:sz w:val="21"/>
                <w:szCs w:val="21"/>
              </w:rPr>
              <w:t>展位</w:t>
            </w:r>
          </w:p>
          <w:p>
            <w:pPr>
              <w:pStyle w:val="10"/>
              <w:tabs>
                <w:tab w:val="left" w:pos="3544"/>
              </w:tabs>
              <w:kinsoku w:val="0"/>
              <w:overflowPunct w:val="0"/>
              <w:spacing w:before="9" w:line="560" w:lineRule="exact"/>
              <w:ind w:left="115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□</w:t>
            </w:r>
            <w:r>
              <w:rPr>
                <w:rFonts w:hint="eastAsia"/>
                <w:w w:val="110"/>
                <w:sz w:val="21"/>
                <w:szCs w:val="21"/>
              </w:rPr>
              <w:t>精装</w:t>
            </w:r>
            <w:r>
              <w:rPr>
                <w:w w:val="110"/>
                <w:sz w:val="21"/>
                <w:szCs w:val="21"/>
              </w:rPr>
              <w:t>36</w:t>
            </w:r>
            <w:r>
              <w:rPr>
                <w:rFonts w:hint="eastAsia"/>
                <w:w w:val="110"/>
                <w:sz w:val="21"/>
                <w:szCs w:val="21"/>
              </w:rPr>
              <w:t>㎡</w:t>
            </w:r>
            <w:r>
              <w:rPr>
                <w:w w:val="110"/>
                <w:sz w:val="21"/>
                <w:szCs w:val="21"/>
              </w:rPr>
              <w:t>展位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 xml:space="preserve">     □</w:t>
            </w:r>
            <w:r>
              <w:rPr>
                <w:rFonts w:hint="eastAsia"/>
                <w:w w:val="110"/>
                <w:sz w:val="21"/>
                <w:szCs w:val="21"/>
              </w:rPr>
              <w:t>精装</w:t>
            </w:r>
            <w:r>
              <w:rPr>
                <w:w w:val="110"/>
                <w:sz w:val="21"/>
                <w:szCs w:val="21"/>
              </w:rPr>
              <w:t>45</w:t>
            </w:r>
            <w:r>
              <w:rPr>
                <w:rFonts w:hint="eastAsia"/>
                <w:w w:val="110"/>
                <w:sz w:val="21"/>
                <w:szCs w:val="21"/>
              </w:rPr>
              <w:t>㎡</w:t>
            </w:r>
            <w:r>
              <w:rPr>
                <w:w w:val="110"/>
                <w:sz w:val="21"/>
                <w:szCs w:val="21"/>
              </w:rPr>
              <w:t>展位</w:t>
            </w:r>
          </w:p>
          <w:p>
            <w:pPr>
              <w:pStyle w:val="10"/>
              <w:tabs>
                <w:tab w:val="left" w:pos="3544"/>
              </w:tabs>
              <w:kinsoku w:val="0"/>
              <w:overflowPunct w:val="0"/>
              <w:spacing w:before="9" w:line="560" w:lineRule="exact"/>
              <w:ind w:left="115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□</w:t>
            </w:r>
            <w:r>
              <w:rPr>
                <w:rFonts w:hint="eastAsia"/>
                <w:w w:val="110"/>
                <w:sz w:val="21"/>
                <w:szCs w:val="21"/>
              </w:rPr>
              <w:t>特装</w:t>
            </w:r>
            <w:r>
              <w:rPr>
                <w:w w:val="110"/>
                <w:sz w:val="21"/>
                <w:szCs w:val="21"/>
              </w:rPr>
              <w:t>60</w:t>
            </w:r>
            <w:r>
              <w:rPr>
                <w:rFonts w:hint="eastAsia"/>
                <w:w w:val="110"/>
                <w:sz w:val="21"/>
                <w:szCs w:val="21"/>
              </w:rPr>
              <w:t>㎡</w:t>
            </w:r>
            <w:r>
              <w:rPr>
                <w:w w:val="110"/>
                <w:sz w:val="21"/>
                <w:szCs w:val="21"/>
              </w:rPr>
              <w:t>展位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 xml:space="preserve">     □</w:t>
            </w:r>
            <w:r>
              <w:rPr>
                <w:rFonts w:hint="eastAsia"/>
                <w:w w:val="110"/>
                <w:sz w:val="21"/>
                <w:szCs w:val="21"/>
              </w:rPr>
              <w:t>特装</w:t>
            </w:r>
            <w:r>
              <w:rPr>
                <w:w w:val="110"/>
                <w:sz w:val="21"/>
                <w:szCs w:val="21"/>
              </w:rPr>
              <w:t>80</w:t>
            </w:r>
            <w:r>
              <w:rPr>
                <w:rFonts w:hint="eastAsia"/>
                <w:w w:val="110"/>
                <w:sz w:val="21"/>
                <w:szCs w:val="21"/>
              </w:rPr>
              <w:t>㎡</w:t>
            </w:r>
            <w:r>
              <w:rPr>
                <w:w w:val="110"/>
                <w:sz w:val="21"/>
                <w:szCs w:val="21"/>
              </w:rPr>
              <w:t>展位</w:t>
            </w:r>
          </w:p>
          <w:p>
            <w:pPr>
              <w:pStyle w:val="10"/>
              <w:tabs>
                <w:tab w:val="left" w:pos="3544"/>
              </w:tabs>
              <w:kinsoku w:val="0"/>
              <w:overflowPunct w:val="0"/>
              <w:spacing w:before="9" w:line="560" w:lineRule="exact"/>
              <w:ind w:left="115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□V</w:t>
            </w:r>
            <w:r>
              <w:rPr>
                <w:rFonts w:hint="eastAsia"/>
                <w:w w:val="110"/>
                <w:sz w:val="21"/>
                <w:szCs w:val="21"/>
              </w:rPr>
              <w:t>ip</w:t>
            </w:r>
            <w:r>
              <w:rPr>
                <w:w w:val="110"/>
                <w:sz w:val="21"/>
                <w:szCs w:val="21"/>
              </w:rPr>
              <w:t>100</w:t>
            </w:r>
            <w:r>
              <w:rPr>
                <w:rFonts w:hint="eastAsia"/>
                <w:w w:val="110"/>
                <w:sz w:val="21"/>
                <w:szCs w:val="21"/>
              </w:rPr>
              <w:t>㎡</w:t>
            </w:r>
            <w:r>
              <w:rPr>
                <w:w w:val="110"/>
                <w:sz w:val="21"/>
                <w:szCs w:val="21"/>
              </w:rPr>
              <w:t>展位      □</w:t>
            </w:r>
            <w:r>
              <w:rPr>
                <w:rFonts w:hint="eastAsia"/>
                <w:w w:val="110"/>
                <w:sz w:val="21"/>
                <w:szCs w:val="21"/>
              </w:rPr>
              <w:t>代表团展位</w:t>
            </w:r>
          </w:p>
          <w:p>
            <w:pPr>
              <w:pStyle w:val="10"/>
              <w:tabs>
                <w:tab w:val="left" w:pos="3544"/>
              </w:tabs>
              <w:kinsoku w:val="0"/>
              <w:overflowPunct w:val="0"/>
              <w:spacing w:before="9" w:line="560" w:lineRule="exact"/>
              <w:ind w:left="115"/>
              <w:rPr>
                <w:w w:val="110"/>
                <w:sz w:val="21"/>
                <w:szCs w:val="21"/>
                <w:u w:val="single"/>
              </w:rPr>
            </w:pPr>
            <w:r>
              <w:rPr>
                <w:w w:val="110"/>
                <w:sz w:val="21"/>
                <w:szCs w:val="21"/>
              </w:rPr>
              <w:t>●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户外广告 </w:t>
            </w:r>
            <w:r>
              <w:rPr>
                <w:w w:val="110"/>
                <w:sz w:val="21"/>
                <w:szCs w:val="21"/>
              </w:rPr>
              <w:t xml:space="preserve">   </w:t>
            </w:r>
            <w:r>
              <w:rPr>
                <w:w w:val="110"/>
                <w:sz w:val="21"/>
                <w:szCs w:val="21"/>
                <w:u w:val="single"/>
              </w:rPr>
              <w:t xml:space="preserve">                           </w:t>
            </w:r>
          </w:p>
          <w:p>
            <w:pPr>
              <w:pStyle w:val="10"/>
              <w:tabs>
                <w:tab w:val="left" w:pos="3544"/>
              </w:tabs>
              <w:kinsoku w:val="0"/>
              <w:overflowPunct w:val="0"/>
              <w:spacing w:before="9" w:line="560" w:lineRule="exact"/>
              <w:ind w:left="115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●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印刷品广告 </w:t>
            </w:r>
            <w:r>
              <w:rPr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  <w:u w:val="single"/>
              </w:rPr>
              <w:t xml:space="preserve">                           </w:t>
            </w:r>
          </w:p>
          <w:p>
            <w:pPr>
              <w:pStyle w:val="10"/>
              <w:tabs>
                <w:tab w:val="left" w:pos="3544"/>
              </w:tabs>
              <w:kinsoku w:val="0"/>
              <w:overflowPunct w:val="0"/>
              <w:spacing w:before="9" w:line="560" w:lineRule="exact"/>
              <w:ind w:left="115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●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独家广告 </w:t>
            </w:r>
            <w:r>
              <w:rPr>
                <w:w w:val="110"/>
                <w:sz w:val="21"/>
                <w:szCs w:val="21"/>
              </w:rPr>
              <w:t xml:space="preserve">   </w:t>
            </w:r>
            <w:r>
              <w:rPr>
                <w:w w:val="110"/>
                <w:sz w:val="21"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90" w:type="dxa"/>
            <w:tcBorders>
              <w:top w:val="single" w:color="003F98" w:sz="2" w:space="0"/>
              <w:left w:val="single" w:color="003F98" w:sz="4" w:space="0"/>
              <w:bottom w:val="single" w:color="003F98" w:sz="4" w:space="0"/>
              <w:right w:val="single" w:color="003F98" w:sz="2" w:space="0"/>
            </w:tcBorders>
          </w:tcPr>
          <w:p>
            <w:pPr>
              <w:pStyle w:val="10"/>
              <w:kinsoku w:val="0"/>
              <w:overflowPunct w:val="0"/>
              <w:spacing w:before="4" w:line="560" w:lineRule="exact"/>
              <w:rPr>
                <w:rFonts w:ascii="Arial" w:hAnsi="Arial" w:cs="Arial"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提交材料</w:t>
            </w:r>
          </w:p>
        </w:tc>
        <w:tc>
          <w:tcPr>
            <w:tcW w:w="7766" w:type="dxa"/>
            <w:gridSpan w:val="5"/>
            <w:tcBorders>
              <w:top w:val="single" w:color="003F98" w:sz="2" w:space="0"/>
              <w:left w:val="single" w:color="003F98" w:sz="2" w:space="0"/>
              <w:bottom w:val="single" w:color="003F98" w:sz="4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before="76" w:line="560" w:lineRule="exact"/>
              <w:ind w:left="115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、企业品牌标识、企业简介、董事长简介；</w:t>
            </w:r>
          </w:p>
          <w:p>
            <w:pPr>
              <w:pStyle w:val="10"/>
              <w:kinsoku w:val="0"/>
              <w:overflowPunct w:val="0"/>
              <w:spacing w:before="9" w:line="560" w:lineRule="exact"/>
              <w:ind w:left="115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、企业营业执照副本复印件、企业技术专利证书复印件；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356" w:type="dxa"/>
            <w:gridSpan w:val="6"/>
            <w:tcBorders>
              <w:top w:val="single" w:color="003F98" w:sz="4" w:space="0"/>
              <w:left w:val="single" w:color="003F98" w:sz="4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before="112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二、市场表现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356" w:type="dxa"/>
            <w:gridSpan w:val="6"/>
            <w:tcBorders>
              <w:top w:val="single" w:color="003F98" w:sz="2" w:space="0"/>
              <w:left w:val="single" w:color="003F98" w:sz="4" w:space="0"/>
              <w:bottom w:val="single" w:color="003F98" w:sz="4" w:space="0"/>
              <w:right w:val="single" w:color="003F98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314"/>
                <w:tab w:val="left" w:pos="2467"/>
              </w:tabs>
              <w:kinsoku w:val="0"/>
              <w:overflowPunct w:val="0"/>
              <w:spacing w:before="76" w:line="560" w:lineRule="exact"/>
              <w:rPr>
                <w:w w:val="110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品牌年龄：</w:t>
            </w:r>
            <w:r>
              <w:rPr>
                <w:w w:val="105"/>
                <w:sz w:val="21"/>
                <w:szCs w:val="21"/>
              </w:rPr>
              <w:tab/>
            </w:r>
            <w:r>
              <w:rPr>
                <w:w w:val="110"/>
                <w:sz w:val="21"/>
                <w:szCs w:val="21"/>
              </w:rPr>
              <w:t>■品牌知名度：</w:t>
            </w:r>
            <w:r>
              <w:rPr>
                <w:w w:val="105"/>
                <w:sz w:val="21"/>
                <w:szCs w:val="21"/>
              </w:rPr>
              <w:t>□</w:t>
            </w:r>
            <w:r>
              <w:rPr>
                <w:w w:val="110"/>
                <w:sz w:val="21"/>
                <w:szCs w:val="21"/>
              </w:rPr>
              <w:t>低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 xml:space="preserve"> □中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 xml:space="preserve"> □高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14"/>
              </w:tabs>
              <w:kinsoku w:val="0"/>
              <w:overflowPunct w:val="0"/>
              <w:spacing w:before="9" w:line="5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市值（</w:t>
            </w:r>
            <w:r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年）：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14"/>
              </w:tabs>
              <w:kinsoku w:val="0"/>
              <w:overflowPunct w:val="0"/>
              <w:spacing w:before="10" w:line="560" w:lineRule="exac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 xml:space="preserve">股东人数 </w:t>
            </w:r>
            <w:r>
              <w:rPr>
                <w:sz w:val="21"/>
                <w:szCs w:val="21"/>
              </w:rPr>
              <w:t>（</w:t>
            </w:r>
            <w:r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年）：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356" w:type="dxa"/>
            <w:gridSpan w:val="6"/>
            <w:tcBorders>
              <w:top w:val="single" w:color="003F98" w:sz="4" w:space="0"/>
              <w:left w:val="single" w:color="003F98" w:sz="4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before="112" w:line="560" w:lineRule="exact"/>
              <w:ind w:left="113"/>
              <w:rPr>
                <w:w w:val="120"/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三、品牌管理（在选项前“□”中划“√”）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356" w:type="dxa"/>
            <w:gridSpan w:val="6"/>
            <w:tcBorders>
              <w:top w:val="single" w:color="003F98" w:sz="2" w:space="0"/>
              <w:left w:val="single" w:color="003F98" w:sz="4" w:space="0"/>
              <w:bottom w:val="single" w:color="003F98" w:sz="4" w:space="0"/>
              <w:right w:val="single" w:color="003F98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323"/>
                <w:tab w:val="left" w:pos="3423"/>
              </w:tabs>
              <w:kinsoku w:val="0"/>
              <w:overflowPunct w:val="0"/>
              <w:spacing w:before="76" w:line="560" w:lineRule="exact"/>
              <w:ind w:hanging="209"/>
              <w:rPr>
                <w:w w:val="110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品牌管理情况：</w:t>
            </w:r>
            <w:r>
              <w:rPr>
                <w:rFonts w:hint="eastAsia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□ 有管理团队</w:t>
            </w:r>
            <w:r>
              <w:rPr>
                <w:spacing w:val="28"/>
                <w:w w:val="105"/>
                <w:sz w:val="21"/>
                <w:szCs w:val="21"/>
              </w:rPr>
              <w:t xml:space="preserve">   </w:t>
            </w:r>
            <w:r>
              <w:rPr>
                <w:w w:val="105"/>
                <w:sz w:val="21"/>
                <w:szCs w:val="21"/>
              </w:rPr>
              <w:t>数量</w:t>
            </w:r>
            <w:r>
              <w:rPr>
                <w:w w:val="105"/>
                <w:sz w:val="21"/>
                <w:szCs w:val="21"/>
                <w:u w:val="single" w:color="003E97"/>
              </w:rPr>
              <w:t xml:space="preserve"> </w:t>
            </w:r>
            <w:r>
              <w:rPr>
                <w:w w:val="105"/>
                <w:sz w:val="21"/>
                <w:szCs w:val="21"/>
                <w:u w:val="single" w:color="003E97"/>
              </w:rPr>
              <w:tab/>
            </w:r>
            <w:r>
              <w:rPr>
                <w:w w:val="110"/>
                <w:sz w:val="21"/>
                <w:szCs w:val="21"/>
              </w:rPr>
              <w:t>人 ；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□ </w:t>
            </w:r>
            <w:r>
              <w:rPr>
                <w:w w:val="110"/>
                <w:sz w:val="21"/>
                <w:szCs w:val="21"/>
              </w:rPr>
              <w:t>无</w:t>
            </w:r>
          </w:p>
          <w:p>
            <w:pPr>
              <w:pStyle w:val="10"/>
              <w:tabs>
                <w:tab w:val="left" w:pos="2689"/>
                <w:tab w:val="left" w:pos="3946"/>
                <w:tab w:val="left" w:pos="4884"/>
              </w:tabs>
              <w:kinsoku w:val="0"/>
              <w:overflowPunct w:val="0"/>
              <w:spacing w:before="9" w:line="560" w:lineRule="exact"/>
              <w:ind w:left="311" w:right="1228"/>
              <w:rPr>
                <w:spacing w:val="-17"/>
                <w:w w:val="110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专职管理部门</w:t>
            </w:r>
            <w:r>
              <w:rPr>
                <w:rFonts w:hint="eastAsia"/>
                <w:w w:val="105"/>
                <w:sz w:val="21"/>
                <w:szCs w:val="21"/>
              </w:rPr>
              <w:t xml:space="preserve">： </w:t>
            </w:r>
            <w:r>
              <w:rPr>
                <w:w w:val="105"/>
                <w:sz w:val="21"/>
                <w:szCs w:val="21"/>
              </w:rPr>
              <w:t>□ 品牌管理中心</w:t>
            </w:r>
            <w:r>
              <w:rPr>
                <w:rFonts w:hint="eastAsia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 □ 品牌事业部</w:t>
            </w:r>
            <w:r>
              <w:rPr>
                <w:rFonts w:hint="eastAsia"/>
                <w:w w:val="105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 xml:space="preserve"> </w:t>
            </w:r>
            <w:r>
              <w:rPr>
                <w:rFonts w:hint="eastAsia"/>
                <w:w w:val="110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□ 品牌部</w:t>
            </w:r>
            <w:r>
              <w:rPr>
                <w:w w:val="110"/>
                <w:sz w:val="21"/>
                <w:szCs w:val="21"/>
              </w:rPr>
              <w:t xml:space="preserve">   </w:t>
            </w:r>
            <w:r>
              <w:rPr>
                <w:w w:val="105"/>
                <w:sz w:val="21"/>
                <w:szCs w:val="21"/>
              </w:rPr>
              <w:t>□ 品牌办公室</w:t>
            </w:r>
          </w:p>
          <w:p>
            <w:pPr>
              <w:pStyle w:val="10"/>
              <w:tabs>
                <w:tab w:val="left" w:pos="2689"/>
                <w:tab w:val="left" w:pos="3840"/>
                <w:tab w:val="left" w:pos="4884"/>
              </w:tabs>
              <w:kinsoku w:val="0"/>
              <w:overflowPunct w:val="0"/>
              <w:spacing w:before="9" w:line="560" w:lineRule="exact"/>
              <w:ind w:left="311" w:right="1228"/>
              <w:rPr>
                <w:w w:val="110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隶属其它部门</w:t>
            </w:r>
            <w:r>
              <w:rPr>
                <w:rFonts w:hint="eastAsia"/>
                <w:w w:val="105"/>
                <w:sz w:val="21"/>
                <w:szCs w:val="21"/>
              </w:rPr>
              <w:t>：</w:t>
            </w:r>
            <w:r>
              <w:rPr>
                <w:w w:val="105"/>
                <w:sz w:val="21"/>
                <w:szCs w:val="21"/>
              </w:rPr>
              <w:t xml:space="preserve"> □ 市场营销部    □ 企划宣传部 </w:t>
            </w:r>
            <w:r>
              <w:rPr>
                <w:w w:val="110"/>
                <w:sz w:val="21"/>
                <w:szCs w:val="21"/>
              </w:rPr>
              <w:t xml:space="preserve">  </w:t>
            </w:r>
            <w:r>
              <w:rPr>
                <w:w w:val="105"/>
                <w:sz w:val="21"/>
                <w:szCs w:val="21"/>
              </w:rPr>
              <w:t>□ 综合部</w:t>
            </w:r>
            <w:r>
              <w:rPr>
                <w:w w:val="110"/>
                <w:sz w:val="21"/>
                <w:szCs w:val="21"/>
              </w:rPr>
              <w:t xml:space="preserve">   </w:t>
            </w:r>
            <w:r>
              <w:rPr>
                <w:w w:val="105"/>
                <w:sz w:val="21"/>
                <w:szCs w:val="21"/>
              </w:rPr>
              <w:t>□ 其它部门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356" w:type="dxa"/>
            <w:gridSpan w:val="6"/>
            <w:tcBorders>
              <w:top w:val="single" w:color="003F98" w:sz="4" w:space="0"/>
              <w:left w:val="single" w:color="003F98" w:sz="4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323"/>
              </w:tabs>
              <w:kinsoku w:val="0"/>
              <w:overflowPunct w:val="0"/>
              <w:spacing w:before="143" w:line="560" w:lineRule="exact"/>
              <w:ind w:hanging="2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四、企业信息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参与社会公益活动情况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356" w:type="dxa"/>
            <w:gridSpan w:val="6"/>
            <w:tcBorders>
              <w:top w:val="single" w:color="003F98" w:sz="2" w:space="0"/>
              <w:left w:val="single" w:color="003F98" w:sz="4" w:space="0"/>
              <w:bottom w:val="single" w:color="003F98" w:sz="4" w:space="0"/>
              <w:right w:val="single" w:color="003F98" w:sz="4" w:space="0"/>
            </w:tcBorders>
          </w:tcPr>
          <w:p>
            <w:pPr>
              <w:pStyle w:val="10"/>
              <w:tabs>
                <w:tab w:val="left" w:pos="323"/>
              </w:tabs>
              <w:kinsoku w:val="0"/>
              <w:overflowPunct w:val="0"/>
              <w:spacing w:before="143" w:line="560" w:lineRule="exact"/>
              <w:ind w:left="322"/>
              <w:rPr>
                <w:sz w:val="21"/>
                <w:szCs w:val="21"/>
              </w:rPr>
            </w:pPr>
          </w:p>
          <w:p>
            <w:pPr>
              <w:pStyle w:val="10"/>
              <w:tabs>
                <w:tab w:val="left" w:pos="323"/>
              </w:tabs>
              <w:kinsoku w:val="0"/>
              <w:overflowPunct w:val="0"/>
              <w:spacing w:before="143" w:line="560" w:lineRule="exact"/>
              <w:ind w:left="322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356" w:type="dxa"/>
            <w:gridSpan w:val="6"/>
            <w:tcBorders>
              <w:top w:val="single" w:color="003F98" w:sz="4" w:space="0"/>
              <w:left w:val="single" w:color="003F98" w:sz="4" w:space="0"/>
              <w:bottom w:val="single" w:color="003F98" w:sz="2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before="112" w:line="560" w:lineRule="exact"/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五、承诺书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9356" w:type="dxa"/>
            <w:gridSpan w:val="6"/>
            <w:tcBorders>
              <w:top w:val="single" w:color="003F98" w:sz="2" w:space="0"/>
              <w:left w:val="single" w:color="003F98" w:sz="4" w:space="0"/>
              <w:bottom w:val="single" w:color="003F98" w:sz="4" w:space="0"/>
              <w:right w:val="single" w:color="003F98" w:sz="4" w:space="0"/>
            </w:tcBorders>
          </w:tcPr>
          <w:p>
            <w:pPr>
              <w:pStyle w:val="10"/>
              <w:kinsoku w:val="0"/>
              <w:overflowPunct w:val="0"/>
              <w:spacing w:before="76" w:line="560" w:lineRule="exact"/>
              <w:ind w:left="113" w:right="7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最近</w:t>
            </w:r>
            <w:r>
              <w:rPr>
                <w:rFonts w:hint="eastAsia"/>
                <w:sz w:val="21"/>
                <w:szCs w:val="21"/>
              </w:rPr>
              <w:t>五</w:t>
            </w:r>
            <w:r>
              <w:rPr>
                <w:sz w:val="21"/>
                <w:szCs w:val="21"/>
              </w:rPr>
              <w:t>年在行业内、工商行政管理部门、司法系统、</w:t>
            </w:r>
            <w:r>
              <w:rPr>
                <w:rFonts w:ascii="Arial" w:hAnsi="Arial" w:cs="Arial"/>
                <w:sz w:val="21"/>
                <w:szCs w:val="21"/>
              </w:rPr>
              <w:t xml:space="preserve">315 </w:t>
            </w:r>
            <w:r>
              <w:rPr>
                <w:sz w:val="21"/>
                <w:szCs w:val="21"/>
              </w:rPr>
              <w:t>消费者维权机构等无不良纪录； 愿意签署无上述不良记录的公证承诺书</w:t>
            </w:r>
          </w:p>
          <w:p>
            <w:pPr>
              <w:pStyle w:val="10"/>
              <w:kinsoku w:val="0"/>
              <w:overflowPunct w:val="0"/>
              <w:spacing w:before="2" w:line="560" w:lineRule="exact"/>
              <w:ind w:left="3932" w:firstLine="1680" w:firstLineChars="8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单位（公章）：</w:t>
            </w:r>
          </w:p>
        </w:tc>
      </w:tr>
    </w:tbl>
    <w:p>
      <w:pPr>
        <w:spacing w:after="0" w:line="560" w:lineRule="exact"/>
        <w:rPr>
          <w:rFonts w:ascii="仿宋_GB2312" w:hAnsi="楷体" w:eastAsia="仿宋_GB2312" w:cs="楷体"/>
          <w:b/>
          <w:sz w:val="32"/>
          <w:szCs w:val="32"/>
        </w:rPr>
      </w:pPr>
    </w:p>
    <w:p>
      <w:pPr>
        <w:adjustRightInd/>
        <w:snapToGrid/>
        <w:spacing w:after="0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ascii="仿宋_GB2312" w:hAnsi="楷体" w:eastAsia="仿宋_GB2312" w:cs="楷体"/>
          <w:b/>
          <w:sz w:val="32"/>
          <w:szCs w:val="32"/>
        </w:rPr>
        <w:br w:type="page"/>
      </w:r>
    </w:p>
    <w:p>
      <w:pPr>
        <w:adjustRightInd/>
        <w:snapToGrid/>
        <w:spacing w:after="0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附件2</w:t>
      </w:r>
    </w:p>
    <w:p>
      <w:pPr>
        <w:adjustRightInd/>
        <w:snapToGrid/>
        <w:spacing w:after="0"/>
        <w:jc w:val="center"/>
        <w:rPr>
          <w:rFonts w:ascii="方正小标宋_GBK" w:hAnsi="楷体" w:eastAsia="方正小标宋_GBK" w:cs="楷体"/>
          <w:b/>
          <w:sz w:val="44"/>
          <w:szCs w:val="44"/>
        </w:rPr>
      </w:pPr>
      <w:r>
        <w:rPr>
          <w:rFonts w:hint="eastAsia" w:ascii="方正小标宋_GBK" w:hAnsi="楷体" w:eastAsia="方正小标宋_GBK" w:cs="楷体"/>
          <w:b/>
          <w:sz w:val="44"/>
          <w:szCs w:val="44"/>
        </w:rPr>
        <w:t>参展权益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450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</w:rPr>
              <w:t>序号</w:t>
            </w:r>
          </w:p>
        </w:tc>
        <w:tc>
          <w:tcPr>
            <w:tcW w:w="3450" w:type="dxa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</w:rPr>
              <w:t>展位形式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</w:rPr>
              <w:t>权益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代表团500m²展位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优先享有邀请代表团负责人参加推介会、与领导人交流沟通机会;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优先享有博览会端头门楼广告、墙面广告和指定用品赞助权益;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在 GHF 大会网络、手册、会刊鸣谢页中出现代表团名称及 LOGO，以及在博览会背景墙展示代表团 LOGO；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赠送 VIP 通票6张、开幕式10张、路演门票6张、论坛门票8张、晚宴门票4张、博览会门票30张、商务标准间4间、会议资料包20个。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VIP100m²展位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优先享有邀请企业负责人参加推介会,与领导人交流沟通机会 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优先享有博览会端头门楼广告、墙面广告赞助权益，以及会议资料包赞助资格;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在GHF大会网络、手册、会刊鸣谢页中出现企业以及在博览会背景墙展示企业 LOGO;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赠送 VIP 通票2张、开幕式4张、路演门票4张、论坛门票4张、晚宴门票2张、博览会门票20张、商务标准间2间、领导人参观入口 VIP 展位、会议资料包10个。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精装80m²展位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优先享有邀请企业负责人参加推介会,与领导人交流沟通机会;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优先享有博览会端头门楼广告、墙面广告赞助权益，以及会议资料包赞助资格;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在 GHF 大会网络、手册、会刊鸣谢页中出现企业 LOGO， 以及在博览会背景墙展示企业 LOGO;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赠送大会VIP 通票2张、开幕式门票2张、路演门票2 张、论坛门票2</w:t>
            </w:r>
            <w:bookmarkStart w:id="0" w:name="_GoBack"/>
            <w:bookmarkEnd w:id="0"/>
            <w:r>
              <w:rPr>
                <w:rFonts w:hint="eastAsia" w:ascii="仿宋_GB2312" w:hAnsi="Calibri" w:eastAsia="仿宋_GB2312"/>
                <w:sz w:val="24"/>
              </w:rPr>
              <w:t>张、晚宴门票1张、博览会门票20张、商务标准间1间、领导人参观场馆入口展位、会议资料包8个。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特装60m²展位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优先享有邀请企业负责人参加推介会, 与领导人交流沟通机会;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优先享有博览会端头门楼广告、墙面广告赞助权益，以及会议资料包赞助资格;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在 GHF 大会网络、手册、会刊鸣谢页中出现企业以及在博览会背景墙展示企业 LOGO;赠送大会VIP 通票1张、开幕式门票 2 张、路演门票论坛门票 1张、晚宴门票1张、博览会门票20张；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标准间1间、领导人参观场馆中部位、会议资料包6个。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精装45m²展位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在 GHF 大会网络、手册、会刊鸣谢页中出现企业以及在博览会背景墙展示企业 LOGO;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赠送大会开幕式门票2张、路演门票 1 张、博览会门票15张、领导人参观场馆边缘展位、会议资料包6个。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精装36m²展位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在博览会背景墙展示企业 LOGO;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赠送大会开幕式门票1张、论坛门票</w:t>
            </w:r>
            <w:r>
              <w:rPr>
                <w:rFonts w:ascii="仿宋_GB2312" w:hAnsi="Calibri" w:eastAsia="仿宋_GB2312"/>
                <w:sz w:val="24"/>
              </w:rPr>
              <w:t>1</w:t>
            </w:r>
            <w:r>
              <w:rPr>
                <w:rFonts w:hint="eastAsia" w:ascii="仿宋_GB2312" w:hAnsi="Calibri" w:eastAsia="仿宋_GB2312"/>
                <w:sz w:val="24"/>
              </w:rPr>
              <w:t>张、博览会门票15张、会议资料包4个。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标准 27m² 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赠送博览会门票10张、会议资料包3个、楣板字1条、咨询接待桌1张、接待椅两把、60W 射灯两只、5A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电源1个。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345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标准 18m² 展位</w:t>
            </w:r>
          </w:p>
        </w:tc>
        <w:tc>
          <w:tcPr>
            <w:tcW w:w="4189" w:type="dxa"/>
          </w:tcPr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赠送博览会门票10张、会议资料包2个、楣板字1条、咨询接待桌1张、接待椅两把、60W 射灯两只、5A</w:t>
            </w:r>
          </w:p>
          <w:p>
            <w:pPr>
              <w:widowControl w:val="0"/>
              <w:spacing w:after="0" w:line="40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电源1个。</w:t>
            </w:r>
          </w:p>
        </w:tc>
      </w:tr>
    </w:tbl>
    <w:p>
      <w:pPr>
        <w:spacing w:after="0" w:line="560" w:lineRule="exact"/>
        <w:rPr>
          <w:rFonts w:ascii="仿宋_GB2312" w:hAnsi="楷体" w:eastAsia="仿宋_GB2312" w:cs="楷体"/>
          <w:b/>
          <w:sz w:val="32"/>
          <w:szCs w:val="32"/>
        </w:rPr>
      </w:pPr>
    </w:p>
    <w:p>
      <w:pPr>
        <w:adjustRightInd/>
        <w:snapToGrid/>
        <w:spacing w:after="0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ascii="仿宋_GB2312" w:hAnsi="楷体" w:eastAsia="仿宋_GB2312" w:cs="楷体"/>
          <w:b/>
          <w:sz w:val="32"/>
          <w:szCs w:val="32"/>
        </w:rPr>
        <w:br w:type="page"/>
      </w:r>
    </w:p>
    <w:p>
      <w:pPr>
        <w:spacing w:after="0" w:line="560" w:lineRule="exact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附件3</w:t>
      </w:r>
    </w:p>
    <w:p>
      <w:pPr>
        <w:spacing w:after="0" w:line="560" w:lineRule="exact"/>
        <w:jc w:val="center"/>
        <w:rPr>
          <w:rFonts w:ascii="方正小标宋_GBK" w:hAnsi="楷体" w:eastAsia="方正小标宋_GBK" w:cs="楷体"/>
          <w:b/>
          <w:sz w:val="44"/>
          <w:szCs w:val="44"/>
        </w:rPr>
      </w:pPr>
      <w:r>
        <w:rPr>
          <w:rFonts w:hint="eastAsia" w:ascii="方正小标宋_GBK" w:hAnsi="楷体" w:eastAsia="方正小标宋_GBK" w:cs="楷体"/>
          <w:b/>
          <w:sz w:val="44"/>
          <w:szCs w:val="44"/>
        </w:rPr>
        <w:t>广告服务</w:t>
      </w:r>
    </w:p>
    <w:tbl>
      <w:tblPr>
        <w:tblStyle w:val="7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120"/>
        <w:gridCol w:w="1486"/>
        <w:gridCol w:w="1427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3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10"/>
              <w:spacing w:line="400" w:lineRule="exact"/>
              <w:ind w:right="329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10"/>
              <w:spacing w:line="400" w:lineRule="exact"/>
              <w:ind w:right="329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10"/>
              <w:spacing w:line="400" w:lineRule="exact"/>
              <w:ind w:right="329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10"/>
              <w:spacing w:line="400" w:lineRule="exact"/>
              <w:ind w:right="329"/>
              <w:jc w:val="center"/>
            </w:pPr>
            <w:r>
              <w:rPr>
                <w:rFonts w:hint="eastAsia"/>
              </w:rPr>
              <w:t xml:space="preserve"> 成品单位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10"/>
              <w:spacing w:line="400" w:lineRule="exact"/>
              <w:ind w:right="329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294" w:type="dxa"/>
            <w:gridSpan w:val="5"/>
            <w:tcBorders>
              <w:tl2br w:val="nil"/>
              <w:tr2bl w:val="nil"/>
            </w:tcBorders>
          </w:tcPr>
          <w:p>
            <w:pPr>
              <w:pStyle w:val="10"/>
              <w:tabs>
                <w:tab w:val="left" w:pos="3027"/>
              </w:tabs>
              <w:spacing w:line="40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户外广告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3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端门头楼广告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30m*5m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  <w:color w:val="FFFFFF"/>
              </w:rPr>
            </w:pPr>
            <w:r>
              <w:rPr>
                <w:rFonts w:hint="eastAsia" w:ascii="仿宋" w:hAnsi="仿宋" w:eastAsia="仿宋" w:cs="仿宋"/>
              </w:rPr>
              <w:t>RMB</w:t>
            </w:r>
            <w:r>
              <w:rPr>
                <w:rFonts w:hint="eastAsia" w:ascii="仿宋" w:hAnsi="仿宋" w:eastAsia="仿宋" w:cs="仿宋"/>
                <w:spacing w:val="16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500,000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座座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3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博览会墙面广告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15m*7m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  <w:color w:val="FFFFFF"/>
              </w:rPr>
            </w:pPr>
            <w:r>
              <w:rPr>
                <w:rFonts w:hint="eastAsia" w:ascii="仿宋" w:hAnsi="仿宋" w:eastAsia="仿宋" w:cs="仿宋"/>
              </w:rPr>
              <w:t>RMB</w:t>
            </w:r>
            <w:r>
              <w:rPr>
                <w:rFonts w:hint="eastAsia" w:ascii="仿宋" w:hAnsi="仿宋" w:eastAsia="仿宋" w:cs="仿宋"/>
                <w:spacing w:val="16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300,000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3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十字展廊墙壁广告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7.5m*3m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  <w:color w:val="FFFFFF"/>
              </w:rPr>
            </w:pPr>
            <w:r>
              <w:rPr>
                <w:rFonts w:hint="eastAsia" w:ascii="仿宋" w:hAnsi="仿宋" w:eastAsia="仿宋" w:cs="仿宋"/>
              </w:rPr>
              <w:t>RMB</w:t>
            </w:r>
            <w:r>
              <w:rPr>
                <w:rFonts w:hint="eastAsia" w:ascii="仿宋" w:hAnsi="仿宋" w:eastAsia="仿宋" w:cs="仿宋"/>
                <w:spacing w:val="16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3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內廊附壁广告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6m*3m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  <w:color w:val="FFFFFF"/>
              </w:rPr>
            </w:pPr>
            <w:r>
              <w:rPr>
                <w:rFonts w:hint="eastAsia" w:ascii="仿宋" w:hAnsi="仿宋" w:eastAsia="仿宋" w:cs="仿宋"/>
              </w:rPr>
              <w:t>RMB</w:t>
            </w:r>
            <w:r>
              <w:rPr>
                <w:rFonts w:hint="eastAsia" w:ascii="仿宋" w:hAnsi="仿宋" w:eastAsia="仿宋" w:cs="仿宋"/>
                <w:spacing w:val="16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入口附壁广告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3.6m*1.5m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rPr>
                <w:rFonts w:ascii="仿宋" w:hAnsi="仿宋" w:eastAsia="仿宋" w:cs="仿宋"/>
                <w:color w:val="FFFFFF"/>
              </w:rPr>
            </w:pPr>
            <w:r>
              <w:rPr>
                <w:rFonts w:hint="eastAsia" w:ascii="仿宋" w:hAnsi="仿宋" w:eastAsia="仿宋" w:cs="仿宋"/>
              </w:rPr>
              <w:t>RMB</w:t>
            </w:r>
            <w:r>
              <w:rPr>
                <w:rFonts w:hint="eastAsia" w:ascii="仿宋" w:hAnsi="仿宋" w:eastAsia="仿宋" w:cs="仿宋"/>
                <w:spacing w:val="16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120,000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灯杆广告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0.6m*2m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  <w:color w:val="FFFFFF"/>
              </w:rPr>
            </w:pPr>
            <w:r>
              <w:rPr>
                <w:rFonts w:hint="eastAsia" w:ascii="仿宋" w:hAnsi="仿宋" w:eastAsia="仿宋" w:cs="仿宋"/>
              </w:rPr>
              <w:t>RMB</w:t>
            </w:r>
            <w:r>
              <w:rPr>
                <w:rFonts w:hint="eastAsia" w:ascii="仿宋" w:hAnsi="仿宋" w:eastAsia="仿宋" w:cs="仿宋"/>
                <w:spacing w:val="16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100,000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幅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每组四面八幅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2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冠名广告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宣传手册插页广告封底、封二、封三页广告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"/>
              <w:jc w:val="center"/>
              <w:rPr>
                <w:rFonts w:ascii="仿宋" w:hAnsi="仿宋" w:eastAsia="仿宋" w:cs="仿宋"/>
                <w:w w:val="105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RMB 150,000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页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含冠名及制作费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宣传手册插页广告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"/>
              <w:jc w:val="center"/>
              <w:rPr>
                <w:rFonts w:ascii="仿宋" w:hAnsi="仿宋" w:eastAsia="仿宋" w:cs="仿宋"/>
                <w:w w:val="105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RMB 80,000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页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含冠名及制作费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大会特刊插页广告封底、封二、封三页广告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"/>
              <w:jc w:val="center"/>
              <w:rPr>
                <w:rFonts w:ascii="仿宋" w:hAnsi="仿宋" w:eastAsia="仿宋" w:cs="仿宋"/>
                <w:w w:val="105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RMB 150,000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页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含冠名及制作费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大会特刊插页广告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2797"/>
              </w:tabs>
              <w:spacing w:line="400" w:lineRule="exact"/>
              <w:ind w:firstLine="383" w:firstLineChars="100"/>
              <w:rPr>
                <w:rFonts w:ascii="仿宋" w:hAnsi="仿宋" w:eastAsia="仿宋" w:cs="仿宋"/>
                <w:w w:val="105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tabs>
                <w:tab w:val="left" w:pos="1243"/>
              </w:tabs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RMB 80,000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页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含冠名及制作费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2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35" w:line="400" w:lineRule="exact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独家广告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会议资料包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80"/>
              </w:rPr>
              <w:t>RMB 3</w:t>
            </w:r>
            <w:r>
              <w:rPr>
                <w:rFonts w:hint="eastAsia" w:ascii="仿宋" w:hAnsi="仿宋" w:eastAsia="仿宋" w:cs="仿宋"/>
                <w:w w:val="95"/>
              </w:rPr>
              <w:t>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会期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2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含冠名，厂家自备手拎包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32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VIP 票广告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2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80"/>
              </w:rPr>
              <w:t xml:space="preserve">RMB </w:t>
            </w:r>
            <w:r>
              <w:rPr>
                <w:rFonts w:hint="eastAsia" w:ascii="仿宋" w:hAnsi="仿宋" w:eastAsia="仿宋" w:cs="仿宋"/>
                <w:w w:val="95"/>
              </w:rPr>
              <w:t>200,000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217" w:right="22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会期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3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请柬广告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2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80"/>
              </w:rPr>
              <w:t xml:space="preserve">RMB </w:t>
            </w:r>
            <w:r>
              <w:rPr>
                <w:rFonts w:hint="eastAsia" w:ascii="仿宋" w:hAnsi="仿宋" w:eastAsia="仿宋" w:cs="仿宋"/>
                <w:w w:val="95"/>
              </w:rPr>
              <w:t>300,000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217" w:right="22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会期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3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博览会门票广告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160"/>
              </w:rPr>
              <w:t>/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right="12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80"/>
              </w:rPr>
              <w:t xml:space="preserve">RMB </w:t>
            </w:r>
            <w:r>
              <w:rPr>
                <w:rFonts w:hint="eastAsia" w:ascii="仿宋" w:hAnsi="仿宋" w:eastAsia="仿宋" w:cs="仿宋"/>
                <w:w w:val="95"/>
              </w:rPr>
              <w:t>150,000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217" w:right="22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会期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400" w:lineRule="exact"/>
              <w:ind w:left="44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含冠名</w:t>
            </w:r>
          </w:p>
        </w:tc>
      </w:tr>
    </w:tbl>
    <w:p>
      <w:pPr>
        <w:spacing w:after="0" w:line="560" w:lineRule="exact"/>
        <w:jc w:val="center"/>
        <w:rPr>
          <w:rFonts w:ascii="仿宋" w:hAnsi="仿宋" w:eastAsia="仿宋" w:cs="仿宋"/>
          <w:b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微软雅黑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微软雅黑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3">
    <w:nsid w:val="0000041D"/>
    <w:multiLevelType w:val="multilevel"/>
    <w:tmpl w:val="0000041D"/>
    <w:lvl w:ilvl="0" w:tentative="1">
      <w:start w:val="0"/>
      <w:numFmt w:val="bullet"/>
      <w:lvlText w:val="■"/>
      <w:lvlJc w:val="left"/>
      <w:pPr>
        <w:ind w:left="322" w:hanging="210"/>
      </w:pPr>
      <w:rPr>
        <w:rFonts w:ascii="Arial Unicode MS" w:hAnsi="Arial Unicode MS" w:cs="Arial Unicode MS"/>
        <w:b w:val="0"/>
        <w:bCs w:val="0"/>
        <w:color w:val="003F98"/>
        <w:w w:val="166"/>
        <w:sz w:val="16"/>
        <w:szCs w:val="16"/>
      </w:rPr>
    </w:lvl>
    <w:lvl w:ilvl="1" w:tentative="1">
      <w:start w:val="0"/>
      <w:numFmt w:val="bullet"/>
      <w:lvlText w:val="?"/>
      <w:lvlJc w:val="left"/>
      <w:pPr>
        <w:ind w:left="1001" w:hanging="210"/>
      </w:pPr>
    </w:lvl>
    <w:lvl w:ilvl="2" w:tentative="1">
      <w:start w:val="0"/>
      <w:numFmt w:val="bullet"/>
      <w:lvlText w:val="?"/>
      <w:lvlJc w:val="left"/>
      <w:pPr>
        <w:ind w:left="1683" w:hanging="210"/>
      </w:pPr>
    </w:lvl>
    <w:lvl w:ilvl="3" w:tentative="1">
      <w:start w:val="0"/>
      <w:numFmt w:val="bullet"/>
      <w:lvlText w:val="?"/>
      <w:lvlJc w:val="left"/>
      <w:pPr>
        <w:ind w:left="2364" w:hanging="210"/>
      </w:pPr>
    </w:lvl>
    <w:lvl w:ilvl="4" w:tentative="1">
      <w:start w:val="0"/>
      <w:numFmt w:val="bullet"/>
      <w:lvlText w:val="?"/>
      <w:lvlJc w:val="left"/>
      <w:pPr>
        <w:ind w:left="3046" w:hanging="210"/>
      </w:pPr>
    </w:lvl>
    <w:lvl w:ilvl="5" w:tentative="1">
      <w:start w:val="0"/>
      <w:numFmt w:val="bullet"/>
      <w:lvlText w:val="?"/>
      <w:lvlJc w:val="left"/>
      <w:pPr>
        <w:ind w:left="3728" w:hanging="210"/>
      </w:pPr>
    </w:lvl>
    <w:lvl w:ilvl="6" w:tentative="1">
      <w:start w:val="0"/>
      <w:numFmt w:val="bullet"/>
      <w:lvlText w:val="?"/>
      <w:lvlJc w:val="left"/>
      <w:pPr>
        <w:ind w:left="4409" w:hanging="210"/>
      </w:pPr>
    </w:lvl>
    <w:lvl w:ilvl="7" w:tentative="1">
      <w:start w:val="0"/>
      <w:numFmt w:val="bullet"/>
      <w:lvlText w:val="?"/>
      <w:lvlJc w:val="left"/>
      <w:pPr>
        <w:ind w:left="5091" w:hanging="210"/>
      </w:pPr>
    </w:lvl>
    <w:lvl w:ilvl="8" w:tentative="1">
      <w:start w:val="0"/>
      <w:numFmt w:val="bullet"/>
      <w:lvlText w:val="?"/>
      <w:lvlJc w:val="left"/>
      <w:pPr>
        <w:ind w:left="5772" w:hanging="210"/>
      </w:pPr>
    </w:lvl>
  </w:abstractNum>
  <w:abstractNum w:abstractNumId="1052">
    <w:nsid w:val="0000041C"/>
    <w:multiLevelType w:val="multilevel"/>
    <w:tmpl w:val="0000041C"/>
    <w:lvl w:ilvl="0" w:tentative="1">
      <w:start w:val="0"/>
      <w:numFmt w:val="bullet"/>
      <w:lvlText w:val="■"/>
      <w:lvlJc w:val="left"/>
      <w:pPr>
        <w:ind w:left="322" w:hanging="210"/>
      </w:pPr>
      <w:rPr>
        <w:rFonts w:ascii="Arial Unicode MS" w:hAnsi="Arial Unicode MS" w:cs="Arial Unicode MS"/>
        <w:b w:val="0"/>
        <w:bCs w:val="0"/>
        <w:color w:val="003F98"/>
        <w:w w:val="166"/>
        <w:sz w:val="16"/>
        <w:szCs w:val="16"/>
      </w:rPr>
    </w:lvl>
    <w:lvl w:ilvl="1" w:tentative="1">
      <w:start w:val="0"/>
      <w:numFmt w:val="bullet"/>
      <w:lvlText w:val="?"/>
      <w:lvlJc w:val="left"/>
      <w:pPr>
        <w:ind w:left="1001" w:hanging="210"/>
      </w:pPr>
    </w:lvl>
    <w:lvl w:ilvl="2" w:tentative="1">
      <w:start w:val="0"/>
      <w:numFmt w:val="bullet"/>
      <w:lvlText w:val="?"/>
      <w:lvlJc w:val="left"/>
      <w:pPr>
        <w:ind w:left="1683" w:hanging="210"/>
      </w:pPr>
    </w:lvl>
    <w:lvl w:ilvl="3" w:tentative="1">
      <w:start w:val="0"/>
      <w:numFmt w:val="bullet"/>
      <w:lvlText w:val="?"/>
      <w:lvlJc w:val="left"/>
      <w:pPr>
        <w:ind w:left="2364" w:hanging="210"/>
      </w:pPr>
    </w:lvl>
    <w:lvl w:ilvl="4" w:tentative="1">
      <w:start w:val="0"/>
      <w:numFmt w:val="bullet"/>
      <w:lvlText w:val="?"/>
      <w:lvlJc w:val="left"/>
      <w:pPr>
        <w:ind w:left="3046" w:hanging="210"/>
      </w:pPr>
    </w:lvl>
    <w:lvl w:ilvl="5" w:tentative="1">
      <w:start w:val="0"/>
      <w:numFmt w:val="bullet"/>
      <w:lvlText w:val="?"/>
      <w:lvlJc w:val="left"/>
      <w:pPr>
        <w:ind w:left="3728" w:hanging="210"/>
      </w:pPr>
    </w:lvl>
    <w:lvl w:ilvl="6" w:tentative="1">
      <w:start w:val="0"/>
      <w:numFmt w:val="bullet"/>
      <w:lvlText w:val="?"/>
      <w:lvlJc w:val="left"/>
      <w:pPr>
        <w:ind w:left="4409" w:hanging="210"/>
      </w:pPr>
    </w:lvl>
    <w:lvl w:ilvl="7" w:tentative="1">
      <w:start w:val="0"/>
      <w:numFmt w:val="bullet"/>
      <w:lvlText w:val="?"/>
      <w:lvlJc w:val="left"/>
      <w:pPr>
        <w:ind w:left="5091" w:hanging="210"/>
      </w:pPr>
    </w:lvl>
    <w:lvl w:ilvl="8" w:tentative="1">
      <w:start w:val="0"/>
      <w:numFmt w:val="bullet"/>
      <w:lvlText w:val="?"/>
      <w:lvlJc w:val="left"/>
      <w:pPr>
        <w:ind w:left="5772" w:hanging="210"/>
      </w:pPr>
    </w:lvl>
  </w:abstractNum>
  <w:abstractNum w:abstractNumId="1051">
    <w:nsid w:val="0000041B"/>
    <w:multiLevelType w:val="multilevel"/>
    <w:tmpl w:val="0000041B"/>
    <w:lvl w:ilvl="0" w:tentative="1">
      <w:start w:val="0"/>
      <w:numFmt w:val="bullet"/>
      <w:lvlText w:val="■"/>
      <w:lvlJc w:val="left"/>
      <w:pPr>
        <w:ind w:left="313" w:hanging="200"/>
      </w:pPr>
      <w:rPr>
        <w:rFonts w:ascii="Arial Unicode MS" w:hAnsi="Arial Unicode MS" w:cs="Arial Unicode MS"/>
        <w:b w:val="0"/>
        <w:bCs w:val="0"/>
        <w:color w:val="003F98"/>
        <w:w w:val="166"/>
        <w:sz w:val="16"/>
        <w:szCs w:val="16"/>
      </w:rPr>
    </w:lvl>
    <w:lvl w:ilvl="1" w:tentative="1">
      <w:start w:val="0"/>
      <w:numFmt w:val="bullet"/>
      <w:lvlText w:val="?"/>
      <w:lvlJc w:val="left"/>
      <w:pPr>
        <w:ind w:left="1001" w:hanging="200"/>
      </w:pPr>
    </w:lvl>
    <w:lvl w:ilvl="2" w:tentative="1">
      <w:start w:val="0"/>
      <w:numFmt w:val="bullet"/>
      <w:lvlText w:val="?"/>
      <w:lvlJc w:val="left"/>
      <w:pPr>
        <w:ind w:left="1683" w:hanging="200"/>
      </w:pPr>
    </w:lvl>
    <w:lvl w:ilvl="3" w:tentative="1">
      <w:start w:val="0"/>
      <w:numFmt w:val="bullet"/>
      <w:lvlText w:val="?"/>
      <w:lvlJc w:val="left"/>
      <w:pPr>
        <w:ind w:left="2364" w:hanging="200"/>
      </w:pPr>
    </w:lvl>
    <w:lvl w:ilvl="4" w:tentative="1">
      <w:start w:val="0"/>
      <w:numFmt w:val="bullet"/>
      <w:lvlText w:val="?"/>
      <w:lvlJc w:val="left"/>
      <w:pPr>
        <w:ind w:left="3046" w:hanging="200"/>
      </w:pPr>
    </w:lvl>
    <w:lvl w:ilvl="5" w:tentative="1">
      <w:start w:val="0"/>
      <w:numFmt w:val="bullet"/>
      <w:lvlText w:val="?"/>
      <w:lvlJc w:val="left"/>
      <w:pPr>
        <w:ind w:left="3728" w:hanging="200"/>
      </w:pPr>
    </w:lvl>
    <w:lvl w:ilvl="6" w:tentative="1">
      <w:start w:val="0"/>
      <w:numFmt w:val="bullet"/>
      <w:lvlText w:val="?"/>
      <w:lvlJc w:val="left"/>
      <w:pPr>
        <w:ind w:left="4409" w:hanging="200"/>
      </w:pPr>
    </w:lvl>
    <w:lvl w:ilvl="7" w:tentative="1">
      <w:start w:val="0"/>
      <w:numFmt w:val="bullet"/>
      <w:lvlText w:val="?"/>
      <w:lvlJc w:val="left"/>
      <w:pPr>
        <w:ind w:left="5091" w:hanging="200"/>
      </w:pPr>
    </w:lvl>
    <w:lvl w:ilvl="8" w:tentative="1">
      <w:start w:val="0"/>
      <w:numFmt w:val="bullet"/>
      <w:lvlText w:val="?"/>
      <w:lvlJc w:val="left"/>
      <w:pPr>
        <w:ind w:left="5772" w:hanging="200"/>
      </w:pPr>
    </w:lvl>
  </w:abstractNum>
  <w:num w:numId="1">
    <w:abstractNumId w:val="1051"/>
  </w:num>
  <w:num w:numId="2">
    <w:abstractNumId w:val="1052"/>
  </w:num>
  <w:num w:numId="3">
    <w:abstractNumId w:val="10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897"/>
    <w:rsid w:val="00126F75"/>
    <w:rsid w:val="00172A27"/>
    <w:rsid w:val="001E5653"/>
    <w:rsid w:val="00265B8A"/>
    <w:rsid w:val="002752D7"/>
    <w:rsid w:val="003033A7"/>
    <w:rsid w:val="00323B43"/>
    <w:rsid w:val="0033317F"/>
    <w:rsid w:val="003957B9"/>
    <w:rsid w:val="003A66A1"/>
    <w:rsid w:val="003B52E6"/>
    <w:rsid w:val="003C0CD9"/>
    <w:rsid w:val="003D37D8"/>
    <w:rsid w:val="003F2E32"/>
    <w:rsid w:val="0040520B"/>
    <w:rsid w:val="00426133"/>
    <w:rsid w:val="004358AB"/>
    <w:rsid w:val="00474711"/>
    <w:rsid w:val="00527CE8"/>
    <w:rsid w:val="00541B7C"/>
    <w:rsid w:val="005A1629"/>
    <w:rsid w:val="005F58D8"/>
    <w:rsid w:val="00607311"/>
    <w:rsid w:val="00655277"/>
    <w:rsid w:val="006A23AC"/>
    <w:rsid w:val="006A390D"/>
    <w:rsid w:val="006C7C18"/>
    <w:rsid w:val="006E7D17"/>
    <w:rsid w:val="00787FDE"/>
    <w:rsid w:val="007B63E1"/>
    <w:rsid w:val="008156C8"/>
    <w:rsid w:val="00891215"/>
    <w:rsid w:val="008B7726"/>
    <w:rsid w:val="009A160E"/>
    <w:rsid w:val="00A91C40"/>
    <w:rsid w:val="00B34112"/>
    <w:rsid w:val="00B7115C"/>
    <w:rsid w:val="00CA728A"/>
    <w:rsid w:val="00CF4CA1"/>
    <w:rsid w:val="00D216DA"/>
    <w:rsid w:val="00D31D50"/>
    <w:rsid w:val="00D569E0"/>
    <w:rsid w:val="00D9156B"/>
    <w:rsid w:val="00DC7C9B"/>
    <w:rsid w:val="00E635E0"/>
    <w:rsid w:val="00E66783"/>
    <w:rsid w:val="00EB7A7E"/>
    <w:rsid w:val="00ED113B"/>
    <w:rsid w:val="00ED3659"/>
    <w:rsid w:val="00F01758"/>
    <w:rsid w:val="00F524D5"/>
    <w:rsid w:val="00F94C34"/>
    <w:rsid w:val="03B35515"/>
    <w:rsid w:val="1ABC7400"/>
    <w:rsid w:val="1B4F6197"/>
    <w:rsid w:val="241C6F48"/>
    <w:rsid w:val="2B3C658B"/>
    <w:rsid w:val="31FB4256"/>
    <w:rsid w:val="34F37562"/>
    <w:rsid w:val="387F53C0"/>
    <w:rsid w:val="3B082D98"/>
    <w:rsid w:val="4243296B"/>
    <w:rsid w:val="4396695C"/>
    <w:rsid w:val="44B81465"/>
    <w:rsid w:val="53CD0732"/>
    <w:rsid w:val="54E34E84"/>
    <w:rsid w:val="5AF40336"/>
    <w:rsid w:val="64E60EB6"/>
    <w:rsid w:val="656F4E60"/>
    <w:rsid w:val="6BE63D91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1"/>
    <w:pPr>
      <w:widowControl w:val="0"/>
      <w:autoSpaceDE w:val="0"/>
      <w:autoSpaceDN w:val="0"/>
      <w:snapToGrid/>
      <w:spacing w:after="0"/>
    </w:pPr>
    <w:rPr>
      <w:rFonts w:ascii="Arial Unicode MS" w:hAnsi="Arial Unicode MS" w:cs="Arial Unicode MS" w:eastAsiaTheme="minorEastAsia"/>
      <w:sz w:val="24"/>
      <w:szCs w:val="24"/>
    </w:rPr>
  </w:style>
  <w:style w:type="character" w:customStyle="1" w:styleId="11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paragraph" w:customStyle="1" w:styleId="13">
    <w:name w:val="[基本段落]"/>
    <w:basedOn w:val="1"/>
    <w:qFormat/>
    <w:uiPriority w:val="99"/>
    <w:pPr>
      <w:autoSpaceDE w:val="0"/>
      <w:autoSpaceDN w:val="0"/>
      <w:spacing w:line="288" w:lineRule="auto"/>
      <w:textAlignment w:val="center"/>
    </w:pPr>
    <w:rPr>
      <w:rFonts w:ascii="宋体" w:hAnsi="Times New Roman" w:eastAsia="宋体" w:cs="宋体"/>
      <w:color w:val="000000"/>
      <w:sz w:val="24"/>
      <w:szCs w:val="24"/>
      <w:lang w:val="zh-CN"/>
    </w:rPr>
  </w:style>
  <w:style w:type="character" w:customStyle="1" w:styleId="14">
    <w:name w:val="批注框文本 Char"/>
    <w:basedOn w:val="5"/>
    <w:link w:val="2"/>
    <w:semiHidden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628</Words>
  <Characters>3581</Characters>
  <Lines>29</Lines>
  <Paragraphs>8</Paragraphs>
  <TotalTime>0</TotalTime>
  <ScaleCrop>false</ScaleCrop>
  <LinksUpToDate>false</LinksUpToDate>
  <CharactersWithSpaces>4201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天道酬勤</cp:lastModifiedBy>
  <cp:lastPrinted>2019-04-01T02:21:00Z</cp:lastPrinted>
  <dcterms:modified xsi:type="dcterms:W3CDTF">2019-04-01T05:51:31Z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