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55E" w:rsidRPr="00A9555E" w:rsidRDefault="00A9555E">
      <w:pPr>
        <w:rPr>
          <w:rFonts w:ascii="黑体" w:eastAsia="黑体" w:hAnsi="黑体"/>
          <w:sz w:val="32"/>
          <w:szCs w:val="32"/>
        </w:rPr>
      </w:pPr>
      <w:r w:rsidRPr="00A9555E">
        <w:rPr>
          <w:rFonts w:ascii="黑体" w:eastAsia="黑体" w:hAnsi="黑体" w:hint="eastAsia"/>
          <w:sz w:val="32"/>
          <w:szCs w:val="32"/>
        </w:rPr>
        <w:t>附件4</w:t>
      </w:r>
      <w:r w:rsidR="00B516FB">
        <w:rPr>
          <w:rFonts w:ascii="黑体" w:eastAsia="黑体" w:hAnsi="黑体" w:hint="eastAsia"/>
          <w:sz w:val="32"/>
          <w:szCs w:val="32"/>
        </w:rPr>
        <w:t>:</w:t>
      </w:r>
      <w:bookmarkStart w:id="0" w:name="_GoBack"/>
      <w:bookmarkEnd w:id="0"/>
    </w:p>
    <w:tbl>
      <w:tblPr>
        <w:tblW w:w="4795" w:type="pct"/>
        <w:jc w:val="center"/>
        <w:tblCellSpacing w:w="0" w:type="dxa"/>
        <w:tblInd w:w="192" w:type="dxa"/>
        <w:shd w:val="clear" w:color="auto" w:fill="FFFFFF"/>
        <w:tblCellMar>
          <w:left w:w="0" w:type="dxa"/>
          <w:right w:w="0" w:type="dxa"/>
        </w:tblCellMar>
        <w:tblLook w:val="04A0" w:firstRow="1" w:lastRow="0" w:firstColumn="1" w:lastColumn="0" w:noHBand="0" w:noVBand="1"/>
      </w:tblPr>
      <w:tblGrid>
        <w:gridCol w:w="8992"/>
      </w:tblGrid>
      <w:tr w:rsidR="00F836B8" w:rsidRPr="00F836B8" w:rsidTr="00924DD7">
        <w:trPr>
          <w:trHeight w:val="825"/>
          <w:tblCellSpacing w:w="0" w:type="dxa"/>
          <w:jc w:val="center"/>
        </w:trPr>
        <w:tc>
          <w:tcPr>
            <w:tcW w:w="5000" w:type="pct"/>
            <w:shd w:val="clear" w:color="auto" w:fill="FFFFFF"/>
            <w:vAlign w:val="center"/>
            <w:hideMark/>
          </w:tcPr>
          <w:p w:rsidR="00F836B8" w:rsidRPr="00F836B8" w:rsidRDefault="00F836B8" w:rsidP="00F836B8">
            <w:pPr>
              <w:widowControl/>
              <w:spacing w:line="600" w:lineRule="exact"/>
              <w:jc w:val="center"/>
              <w:rPr>
                <w:rFonts w:ascii="宋体" w:eastAsia="宋体" w:hAnsi="宋体" w:cs="宋体"/>
                <w:b/>
                <w:bCs/>
                <w:color w:val="3D3D3D"/>
                <w:kern w:val="0"/>
                <w:sz w:val="36"/>
                <w:szCs w:val="36"/>
              </w:rPr>
            </w:pPr>
            <w:r w:rsidRPr="00F836B8">
              <w:rPr>
                <w:rFonts w:ascii="宋体" w:eastAsia="宋体" w:hAnsi="宋体" w:cs="宋体" w:hint="eastAsia"/>
                <w:b/>
                <w:bCs/>
                <w:color w:val="3D3D3D"/>
                <w:kern w:val="0"/>
                <w:sz w:val="36"/>
                <w:szCs w:val="36"/>
              </w:rPr>
              <w:t>山东省发展和改革委员会关于印发《山东省企业技术中心认定管理办法（2018年修订）》的通知（鲁发改高技〔2018〕1436号 ）</w:t>
            </w:r>
          </w:p>
        </w:tc>
      </w:tr>
      <w:tr w:rsidR="00F836B8" w:rsidRPr="00F836B8" w:rsidTr="00924DD7">
        <w:trPr>
          <w:trHeight w:val="420"/>
          <w:tblCellSpacing w:w="0" w:type="dxa"/>
          <w:jc w:val="center"/>
        </w:trPr>
        <w:tc>
          <w:tcPr>
            <w:tcW w:w="5000" w:type="pct"/>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2250"/>
              <w:gridCol w:w="2250"/>
              <w:gridCol w:w="2250"/>
            </w:tblGrid>
            <w:tr w:rsidR="00F836B8" w:rsidRPr="00F836B8">
              <w:trPr>
                <w:gridAfter w:val="3"/>
                <w:wAfter w:w="6750" w:type="dxa"/>
                <w:trHeight w:val="120"/>
                <w:tblCellSpacing w:w="0" w:type="dxa"/>
                <w:jc w:val="center"/>
              </w:trPr>
              <w:tc>
                <w:tcPr>
                  <w:tcW w:w="0" w:type="auto"/>
                  <w:vAlign w:val="center"/>
                  <w:hideMark/>
                </w:tcPr>
                <w:p w:rsidR="00F836B8" w:rsidRPr="00F836B8" w:rsidRDefault="00F836B8" w:rsidP="00F836B8">
                  <w:pPr>
                    <w:widowControl/>
                    <w:spacing w:line="600" w:lineRule="exact"/>
                    <w:jc w:val="left"/>
                    <w:rPr>
                      <w:rFonts w:ascii="宋体" w:eastAsia="宋体" w:hAnsi="宋体" w:cs="宋体"/>
                      <w:color w:val="3D3D3D"/>
                      <w:kern w:val="0"/>
                      <w:sz w:val="12"/>
                      <w:szCs w:val="18"/>
                    </w:rPr>
                  </w:pPr>
                </w:p>
              </w:tc>
            </w:tr>
            <w:tr w:rsidR="00F836B8" w:rsidRPr="00F836B8">
              <w:trPr>
                <w:tblCellSpacing w:w="0" w:type="dxa"/>
                <w:jc w:val="center"/>
              </w:trPr>
              <w:tc>
                <w:tcPr>
                  <w:tcW w:w="2250" w:type="dxa"/>
                  <w:vAlign w:val="center"/>
                  <w:hideMark/>
                </w:tcPr>
                <w:p w:rsidR="00F836B8" w:rsidRPr="00F836B8" w:rsidRDefault="00F836B8" w:rsidP="00F836B8">
                  <w:pPr>
                    <w:widowControl/>
                    <w:spacing w:line="600" w:lineRule="exact"/>
                    <w:jc w:val="left"/>
                    <w:rPr>
                      <w:rFonts w:ascii="宋体" w:eastAsia="宋体" w:hAnsi="宋体" w:cs="宋体"/>
                      <w:color w:val="3D3D3D"/>
                      <w:kern w:val="0"/>
                      <w:sz w:val="18"/>
                      <w:szCs w:val="18"/>
                    </w:rPr>
                  </w:pPr>
                  <w:r w:rsidRPr="00F836B8">
                    <w:rPr>
                      <w:rFonts w:ascii="宋体" w:eastAsia="宋体" w:hAnsi="宋体" w:cs="宋体" w:hint="eastAsia"/>
                      <w:color w:val="3D3D3D"/>
                      <w:kern w:val="0"/>
                      <w:sz w:val="18"/>
                      <w:szCs w:val="18"/>
                    </w:rPr>
                    <w:t>发布日期： 2018-12-26</w:t>
                  </w:r>
                </w:p>
              </w:tc>
              <w:tc>
                <w:tcPr>
                  <w:tcW w:w="2250" w:type="dxa"/>
                  <w:vAlign w:val="center"/>
                  <w:hideMark/>
                </w:tcPr>
                <w:p w:rsidR="00F836B8" w:rsidRPr="00F836B8" w:rsidRDefault="00F836B8" w:rsidP="00F836B8">
                  <w:pPr>
                    <w:widowControl/>
                    <w:spacing w:line="600" w:lineRule="exact"/>
                    <w:jc w:val="left"/>
                    <w:rPr>
                      <w:rFonts w:ascii="宋体" w:eastAsia="宋体" w:hAnsi="宋体" w:cs="宋体"/>
                      <w:color w:val="3D3D3D"/>
                      <w:kern w:val="0"/>
                      <w:sz w:val="18"/>
                      <w:szCs w:val="18"/>
                    </w:rPr>
                  </w:pPr>
                </w:p>
              </w:tc>
              <w:tc>
                <w:tcPr>
                  <w:tcW w:w="2250" w:type="dxa"/>
                  <w:vAlign w:val="center"/>
                  <w:hideMark/>
                </w:tcPr>
                <w:p w:rsidR="00F836B8" w:rsidRPr="00F836B8" w:rsidRDefault="00F836B8" w:rsidP="00F836B8">
                  <w:pPr>
                    <w:widowControl/>
                    <w:spacing w:line="600" w:lineRule="exact"/>
                    <w:jc w:val="left"/>
                    <w:rPr>
                      <w:rFonts w:ascii="宋体" w:eastAsia="宋体" w:hAnsi="宋体" w:cs="宋体"/>
                      <w:color w:val="3D3D3D"/>
                      <w:kern w:val="0"/>
                      <w:sz w:val="18"/>
                      <w:szCs w:val="18"/>
                    </w:rPr>
                  </w:pPr>
                  <w:r w:rsidRPr="00F836B8">
                    <w:rPr>
                      <w:rFonts w:ascii="宋体" w:eastAsia="宋体" w:hAnsi="宋体" w:cs="宋体" w:hint="eastAsia"/>
                      <w:color w:val="3D3D3D"/>
                      <w:kern w:val="0"/>
                      <w:sz w:val="18"/>
                      <w:szCs w:val="18"/>
                    </w:rPr>
                    <w:t>访问次数: 636</w:t>
                  </w:r>
                </w:p>
              </w:tc>
              <w:tc>
                <w:tcPr>
                  <w:tcW w:w="2250" w:type="dxa"/>
                  <w:vAlign w:val="center"/>
                  <w:hideMark/>
                </w:tcPr>
                <w:p w:rsidR="00F836B8" w:rsidRPr="00F836B8" w:rsidRDefault="00F836B8" w:rsidP="00F836B8">
                  <w:pPr>
                    <w:widowControl/>
                    <w:spacing w:line="600" w:lineRule="exact"/>
                    <w:jc w:val="left"/>
                    <w:rPr>
                      <w:rFonts w:ascii="宋体" w:eastAsia="宋体" w:hAnsi="宋体" w:cs="宋体"/>
                      <w:color w:val="3D3D3D"/>
                      <w:kern w:val="0"/>
                      <w:sz w:val="18"/>
                      <w:szCs w:val="18"/>
                    </w:rPr>
                  </w:pPr>
                  <w:r w:rsidRPr="00F836B8">
                    <w:rPr>
                      <w:rFonts w:ascii="宋体" w:eastAsia="宋体" w:hAnsi="宋体" w:cs="宋体" w:hint="eastAsia"/>
                      <w:color w:val="3D3D3D"/>
                      <w:kern w:val="0"/>
                      <w:sz w:val="18"/>
                      <w:szCs w:val="18"/>
                    </w:rPr>
                    <w:t>字号：[ </w:t>
                  </w:r>
                  <w:hyperlink r:id="rId7" w:history="1">
                    <w:r w:rsidRPr="00F836B8">
                      <w:rPr>
                        <w:rFonts w:ascii="宋体" w:eastAsia="宋体" w:hAnsi="宋体" w:cs="宋体" w:hint="eastAsia"/>
                        <w:color w:val="3D3D3D"/>
                        <w:kern w:val="0"/>
                        <w:sz w:val="18"/>
                        <w:szCs w:val="18"/>
                      </w:rPr>
                      <w:t>大</w:t>
                    </w:r>
                  </w:hyperlink>
                  <w:r w:rsidRPr="00F836B8">
                    <w:rPr>
                      <w:rFonts w:ascii="宋体" w:eastAsia="宋体" w:hAnsi="宋体" w:cs="宋体" w:hint="eastAsia"/>
                      <w:color w:val="3D3D3D"/>
                      <w:kern w:val="0"/>
                      <w:sz w:val="18"/>
                      <w:szCs w:val="18"/>
                    </w:rPr>
                    <w:t> </w:t>
                  </w:r>
                  <w:hyperlink r:id="rId8" w:history="1">
                    <w:r w:rsidRPr="00F836B8">
                      <w:rPr>
                        <w:rFonts w:ascii="宋体" w:eastAsia="宋体" w:hAnsi="宋体" w:cs="宋体" w:hint="eastAsia"/>
                        <w:color w:val="3D3D3D"/>
                        <w:kern w:val="0"/>
                        <w:sz w:val="18"/>
                        <w:szCs w:val="18"/>
                      </w:rPr>
                      <w:t>中</w:t>
                    </w:r>
                  </w:hyperlink>
                  <w:r w:rsidRPr="00F836B8">
                    <w:rPr>
                      <w:rFonts w:ascii="宋体" w:eastAsia="宋体" w:hAnsi="宋体" w:cs="宋体" w:hint="eastAsia"/>
                      <w:color w:val="3D3D3D"/>
                      <w:kern w:val="0"/>
                      <w:sz w:val="18"/>
                      <w:szCs w:val="18"/>
                    </w:rPr>
                    <w:t> </w:t>
                  </w:r>
                  <w:hyperlink r:id="rId9" w:history="1">
                    <w:r w:rsidRPr="00F836B8">
                      <w:rPr>
                        <w:rFonts w:ascii="宋体" w:eastAsia="宋体" w:hAnsi="宋体" w:cs="宋体" w:hint="eastAsia"/>
                        <w:color w:val="3D3D3D"/>
                        <w:kern w:val="0"/>
                        <w:sz w:val="18"/>
                        <w:szCs w:val="18"/>
                      </w:rPr>
                      <w:t>小</w:t>
                    </w:r>
                  </w:hyperlink>
                  <w:r w:rsidRPr="00F836B8">
                    <w:rPr>
                      <w:rFonts w:ascii="宋体" w:eastAsia="宋体" w:hAnsi="宋体" w:cs="宋体" w:hint="eastAsia"/>
                      <w:color w:val="3D3D3D"/>
                      <w:kern w:val="0"/>
                      <w:sz w:val="18"/>
                      <w:szCs w:val="18"/>
                    </w:rPr>
                    <w:t> ]</w:t>
                  </w:r>
                </w:p>
              </w:tc>
            </w:tr>
          </w:tbl>
          <w:p w:rsidR="00F836B8" w:rsidRPr="00F836B8" w:rsidRDefault="00F836B8" w:rsidP="00F836B8">
            <w:pPr>
              <w:widowControl/>
              <w:spacing w:line="600" w:lineRule="exact"/>
              <w:jc w:val="center"/>
              <w:rPr>
                <w:rFonts w:ascii="宋体" w:eastAsia="宋体" w:hAnsi="宋体" w:cs="宋体"/>
                <w:color w:val="3D3D3D"/>
                <w:kern w:val="0"/>
                <w:sz w:val="18"/>
                <w:szCs w:val="18"/>
              </w:rPr>
            </w:pPr>
          </w:p>
        </w:tc>
      </w:tr>
      <w:tr w:rsidR="00F836B8" w:rsidRPr="00F836B8" w:rsidTr="00924DD7">
        <w:trPr>
          <w:tblCellSpacing w:w="0" w:type="dxa"/>
          <w:jc w:val="center"/>
        </w:trPr>
        <w:tc>
          <w:tcPr>
            <w:tcW w:w="5000" w:type="pct"/>
            <w:shd w:val="clear" w:color="auto" w:fill="FFFFFF"/>
            <w:tcMar>
              <w:top w:w="150" w:type="dxa"/>
              <w:left w:w="0" w:type="dxa"/>
              <w:bottom w:w="150" w:type="dxa"/>
              <w:right w:w="0" w:type="dxa"/>
            </w:tcMar>
            <w:hideMark/>
          </w:tcPr>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黑体" w:eastAsia="黑体" w:hAnsi="黑体" w:cs="宋体" w:hint="eastAsia"/>
                <w:kern w:val="0"/>
                <w:sz w:val="32"/>
                <w:szCs w:val="32"/>
              </w:rPr>
              <w:t>SDPR-2018-0030014</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各市发展改革委，各有关单位：</w:t>
            </w:r>
          </w:p>
          <w:p w:rsidR="00F836B8" w:rsidRPr="00F836B8" w:rsidRDefault="00F836B8" w:rsidP="00F836B8">
            <w:pPr>
              <w:widowControl/>
              <w:spacing w:line="600" w:lineRule="exact"/>
              <w:ind w:firstLine="645"/>
              <w:rPr>
                <w:rFonts w:ascii="宋体" w:eastAsia="宋体" w:hAnsi="宋体" w:cs="宋体"/>
                <w:color w:val="3D3D3D"/>
                <w:kern w:val="0"/>
                <w:szCs w:val="21"/>
              </w:rPr>
            </w:pPr>
            <w:r w:rsidRPr="00F836B8">
              <w:rPr>
                <w:rFonts w:ascii="仿宋_GB2312" w:eastAsia="仿宋_GB2312" w:hAnsi="宋体" w:cs="宋体" w:hint="eastAsia"/>
                <w:kern w:val="0"/>
                <w:sz w:val="32"/>
                <w:szCs w:val="32"/>
              </w:rPr>
              <w:t>为进一步规范山东省企业技术中心管理，强化企业技术创新主体地位，引导支持企业增强技术创新能力，健全技术创新市场导向机制，结合党政省级机构改革职能调整实际，我委对《山东省企业技术中心认定管理办法》（鲁经信技〔2016〕396号）进行了修订。现印发给你们，请遵照执行。</w:t>
            </w:r>
          </w:p>
          <w:p w:rsidR="00F836B8" w:rsidRPr="00F836B8" w:rsidRDefault="00F836B8" w:rsidP="00F836B8">
            <w:pPr>
              <w:widowControl/>
              <w:spacing w:line="600" w:lineRule="exact"/>
              <w:ind w:firstLine="645"/>
              <w:rPr>
                <w:rFonts w:ascii="宋体" w:eastAsia="宋体" w:hAnsi="宋体" w:cs="宋体"/>
                <w:color w:val="3D3D3D"/>
                <w:kern w:val="0"/>
                <w:szCs w:val="21"/>
              </w:rPr>
            </w:pPr>
            <w:r w:rsidRPr="00F836B8">
              <w:rPr>
                <w:rFonts w:ascii="仿宋_GB2312" w:eastAsia="仿宋_GB2312" w:hAnsi="宋体" w:cs="宋体" w:hint="eastAsia"/>
                <w:kern w:val="0"/>
                <w:sz w:val="32"/>
                <w:szCs w:val="32"/>
              </w:rPr>
              <w:t> </w:t>
            </w:r>
          </w:p>
          <w:p w:rsidR="00F836B8" w:rsidRPr="00F836B8" w:rsidRDefault="00F836B8" w:rsidP="00F836B8">
            <w:pPr>
              <w:widowControl/>
              <w:spacing w:line="600" w:lineRule="exact"/>
              <w:ind w:firstLine="645"/>
              <w:rPr>
                <w:rFonts w:ascii="宋体" w:eastAsia="宋体" w:hAnsi="宋体" w:cs="宋体"/>
                <w:color w:val="3D3D3D"/>
                <w:kern w:val="0"/>
                <w:szCs w:val="21"/>
              </w:rPr>
            </w:pPr>
            <w:r w:rsidRPr="00F836B8">
              <w:rPr>
                <w:rFonts w:ascii="仿宋_GB2312" w:eastAsia="仿宋_GB2312" w:hAnsi="宋体" w:cs="宋体" w:hint="eastAsia"/>
                <w:kern w:val="0"/>
                <w:sz w:val="32"/>
                <w:szCs w:val="32"/>
              </w:rPr>
              <w:t> </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宋体" w:eastAsia="宋体" w:hAnsi="宋体" w:cs="宋体" w:hint="eastAsia"/>
                <w:kern w:val="0"/>
                <w:sz w:val="32"/>
                <w:szCs w:val="32"/>
              </w:rPr>
              <w:t> </w:t>
            </w:r>
          </w:p>
          <w:p w:rsidR="00F836B8" w:rsidRPr="00F836B8" w:rsidRDefault="00F836B8" w:rsidP="00F836B8">
            <w:pPr>
              <w:widowControl/>
              <w:spacing w:line="600" w:lineRule="exact"/>
              <w:ind w:firstLine="645"/>
              <w:rPr>
                <w:rFonts w:ascii="宋体" w:eastAsia="宋体" w:hAnsi="宋体" w:cs="宋体"/>
                <w:color w:val="3D3D3D"/>
                <w:kern w:val="0"/>
                <w:szCs w:val="21"/>
              </w:rPr>
            </w:pPr>
            <w:r w:rsidRPr="00F836B8">
              <w:rPr>
                <w:rFonts w:ascii="仿宋_GB2312" w:eastAsia="仿宋_GB2312" w:hAnsi="宋体" w:cs="宋体" w:hint="eastAsia"/>
                <w:kern w:val="0"/>
                <w:sz w:val="32"/>
                <w:szCs w:val="32"/>
              </w:rPr>
              <w:t> </w:t>
            </w:r>
          </w:p>
          <w:p w:rsidR="00F836B8" w:rsidRPr="00F836B8" w:rsidRDefault="00F836B8" w:rsidP="00F836B8">
            <w:pPr>
              <w:widowControl/>
              <w:spacing w:line="600" w:lineRule="exact"/>
              <w:ind w:firstLine="3405"/>
              <w:jc w:val="right"/>
              <w:rPr>
                <w:rFonts w:ascii="宋体" w:eastAsia="宋体" w:hAnsi="宋体" w:cs="宋体"/>
                <w:color w:val="3D3D3D"/>
                <w:kern w:val="0"/>
                <w:szCs w:val="21"/>
              </w:rPr>
            </w:pP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山东省发展和改革委员会</w:t>
            </w:r>
          </w:p>
          <w:p w:rsidR="00F836B8" w:rsidRPr="00F836B8" w:rsidRDefault="00F836B8" w:rsidP="00F836B8">
            <w:pPr>
              <w:widowControl/>
              <w:spacing w:line="600" w:lineRule="exact"/>
              <w:ind w:firstLine="3405"/>
              <w:jc w:val="right"/>
              <w:rPr>
                <w:rFonts w:ascii="宋体" w:eastAsia="宋体" w:hAnsi="宋体" w:cs="宋体"/>
                <w:color w:val="3D3D3D"/>
                <w:kern w:val="0"/>
                <w:szCs w:val="21"/>
              </w:rPr>
            </w:pP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 xml:space="preserve"> 2018年12月</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26日</w:t>
            </w:r>
          </w:p>
          <w:p w:rsidR="00F836B8" w:rsidRPr="00F836B8" w:rsidRDefault="00F836B8" w:rsidP="00F836B8">
            <w:pPr>
              <w:widowControl/>
              <w:spacing w:line="600" w:lineRule="exact"/>
              <w:ind w:firstLine="3405"/>
              <w:jc w:val="center"/>
              <w:rPr>
                <w:rFonts w:ascii="宋体" w:eastAsia="宋体" w:hAnsi="宋体" w:cs="宋体"/>
                <w:color w:val="3D3D3D"/>
                <w:kern w:val="0"/>
                <w:szCs w:val="21"/>
              </w:rPr>
            </w:pPr>
            <w:r w:rsidRPr="00F836B8">
              <w:rPr>
                <w:rFonts w:ascii="仿宋_GB2312" w:eastAsia="仿宋_GB2312" w:hAnsi="宋体" w:cs="宋体" w:hint="eastAsia"/>
                <w:kern w:val="0"/>
                <w:sz w:val="32"/>
                <w:szCs w:val="32"/>
              </w:rPr>
              <w:t> </w:t>
            </w:r>
          </w:p>
          <w:p w:rsidR="00F836B8" w:rsidRDefault="00F836B8" w:rsidP="00F836B8">
            <w:pPr>
              <w:widowControl/>
              <w:spacing w:line="600" w:lineRule="exact"/>
              <w:jc w:val="center"/>
              <w:rPr>
                <w:rFonts w:ascii="华文中宋" w:eastAsia="华文中宋" w:hAnsi="宋体" w:cs="宋体"/>
                <w:b/>
                <w:bCs/>
                <w:kern w:val="0"/>
                <w:sz w:val="44"/>
                <w:szCs w:val="44"/>
              </w:rPr>
            </w:pPr>
          </w:p>
          <w:p w:rsidR="00F836B8" w:rsidRDefault="00F836B8" w:rsidP="00F836B8">
            <w:pPr>
              <w:widowControl/>
              <w:spacing w:line="600" w:lineRule="exact"/>
              <w:jc w:val="center"/>
              <w:rPr>
                <w:rFonts w:ascii="华文中宋" w:eastAsia="华文中宋" w:hAnsi="宋体" w:cs="宋体"/>
                <w:b/>
                <w:bCs/>
                <w:kern w:val="0"/>
                <w:sz w:val="44"/>
                <w:szCs w:val="44"/>
              </w:rPr>
            </w:pPr>
          </w:p>
          <w:p w:rsidR="00F836B8" w:rsidRDefault="00F836B8" w:rsidP="00F836B8">
            <w:pPr>
              <w:widowControl/>
              <w:spacing w:line="600" w:lineRule="exact"/>
              <w:jc w:val="center"/>
              <w:rPr>
                <w:rFonts w:ascii="华文中宋" w:eastAsia="华文中宋" w:hAnsi="宋体" w:cs="宋体"/>
                <w:b/>
                <w:bCs/>
                <w:kern w:val="0"/>
                <w:sz w:val="44"/>
                <w:szCs w:val="44"/>
              </w:rPr>
            </w:pPr>
          </w:p>
          <w:p w:rsidR="00F836B8" w:rsidRPr="00F836B8" w:rsidRDefault="00F836B8" w:rsidP="00F836B8">
            <w:pPr>
              <w:widowControl/>
              <w:spacing w:line="600" w:lineRule="exact"/>
              <w:jc w:val="center"/>
              <w:rPr>
                <w:rFonts w:ascii="宋体" w:eastAsia="宋体" w:hAnsi="宋体" w:cs="宋体"/>
                <w:color w:val="3D3D3D"/>
                <w:kern w:val="0"/>
                <w:szCs w:val="21"/>
              </w:rPr>
            </w:pPr>
            <w:r w:rsidRPr="00F836B8">
              <w:rPr>
                <w:rFonts w:ascii="华文中宋" w:eastAsia="华文中宋" w:hAnsi="宋体" w:cs="宋体" w:hint="eastAsia"/>
                <w:b/>
                <w:bCs/>
                <w:kern w:val="0"/>
                <w:sz w:val="44"/>
                <w:szCs w:val="44"/>
              </w:rPr>
              <w:t>山东省企业技术中心认定管理办法</w:t>
            </w:r>
          </w:p>
          <w:p w:rsidR="00F836B8" w:rsidRPr="00F836B8" w:rsidRDefault="00F836B8" w:rsidP="00F836B8">
            <w:pPr>
              <w:widowControl/>
              <w:spacing w:line="600" w:lineRule="exact"/>
              <w:jc w:val="center"/>
              <w:rPr>
                <w:rFonts w:ascii="宋体" w:eastAsia="宋体" w:hAnsi="宋体" w:cs="宋体"/>
                <w:color w:val="3D3D3D"/>
                <w:kern w:val="0"/>
                <w:szCs w:val="21"/>
              </w:rPr>
            </w:pPr>
            <w:r w:rsidRPr="00F836B8">
              <w:rPr>
                <w:rFonts w:ascii="华文中宋" w:eastAsia="华文中宋" w:hAnsi="宋体" w:cs="宋体" w:hint="eastAsia"/>
                <w:b/>
                <w:bCs/>
                <w:kern w:val="0"/>
                <w:sz w:val="44"/>
                <w:szCs w:val="44"/>
              </w:rPr>
              <w:t>（2018年修订）</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w:t>
            </w:r>
          </w:p>
          <w:p w:rsidR="00F836B8" w:rsidRPr="00F836B8" w:rsidRDefault="00F836B8" w:rsidP="00F836B8">
            <w:pPr>
              <w:widowControl/>
              <w:spacing w:line="600" w:lineRule="exact"/>
              <w:jc w:val="center"/>
              <w:rPr>
                <w:rFonts w:ascii="宋体" w:eastAsia="宋体" w:hAnsi="宋体" w:cs="宋体"/>
                <w:color w:val="3D3D3D"/>
                <w:kern w:val="0"/>
                <w:szCs w:val="21"/>
              </w:rPr>
            </w:pPr>
            <w:r w:rsidRPr="00F836B8">
              <w:rPr>
                <w:rFonts w:ascii="黑体" w:eastAsia="黑体" w:hAnsi="黑体" w:cs="宋体" w:hint="eastAsia"/>
                <w:kern w:val="0"/>
                <w:sz w:val="32"/>
                <w:szCs w:val="32"/>
              </w:rPr>
              <w:t>第一章</w:t>
            </w:r>
            <w:r w:rsidRPr="00F836B8">
              <w:rPr>
                <w:rFonts w:ascii="宋体" w:eastAsia="宋体" w:hAnsi="宋体" w:cs="宋体" w:hint="eastAsia"/>
                <w:color w:val="3D3D3D"/>
                <w:kern w:val="0"/>
                <w:szCs w:val="21"/>
              </w:rPr>
              <w:t> </w:t>
            </w:r>
            <w:r w:rsidRPr="00F836B8">
              <w:rPr>
                <w:rFonts w:ascii="黑体" w:eastAsia="黑体" w:hAnsi="黑体" w:cs="宋体" w:hint="eastAsia"/>
                <w:kern w:val="0"/>
                <w:sz w:val="32"/>
                <w:szCs w:val="32"/>
              </w:rPr>
              <w:t>总</w:t>
            </w:r>
            <w:r w:rsidRPr="00F836B8">
              <w:rPr>
                <w:rFonts w:ascii="宋体" w:eastAsia="宋体" w:hAnsi="宋体" w:cs="宋体" w:hint="eastAsia"/>
                <w:color w:val="3D3D3D"/>
                <w:kern w:val="0"/>
                <w:szCs w:val="21"/>
              </w:rPr>
              <w:t> </w:t>
            </w:r>
            <w:r w:rsidRPr="00F836B8">
              <w:rPr>
                <w:rFonts w:ascii="黑体" w:eastAsia="黑体" w:hAnsi="黑体" w:cs="宋体" w:hint="eastAsia"/>
                <w:kern w:val="0"/>
                <w:sz w:val="32"/>
                <w:szCs w:val="32"/>
              </w:rPr>
              <w:t>则</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第一条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为深入实施创新驱动发展战略，贯彻落实省委、省政府出台的《中共山东省委山东省人民政府关于深入实施创新驱动发展战略的意见》（鲁发〔2015〕13号）,进一步强化企业技术创新主体地位，引导和支持企业增强技术创新能力，健全技术创新市场导向机制，规范省级企业技术中心管理，依据《中华人民共和国科学技术进步法》及《国家企业技术中心认定管理办法》，特制定本办法。</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第二条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本办法所称企业技术中心，是指企业根据市场竞争需要设立的技术研发与创新机构，负责制定企业技术创新规划、开展产业技术研发、创造运用知识产权、建立技术标准体系、凝聚培养创新人才、构建协同创新网络、推进技术创新全过程实施。</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第三条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鼓励和支持企业建立技术中心，发挥企业在技术创新中的主体作用，建立健全企业主导产业技术研发创新的体制机制。根据创新驱动发展要求和经济结构调整需要，对创新能力强、创新机制好、引领示范作用大、符合条件的企业技术中心予以认定，并给予政策支持，鼓励引导行业骨干企业带动产业技术进步</w:t>
            </w:r>
            <w:r w:rsidRPr="00F836B8">
              <w:rPr>
                <w:rFonts w:ascii="仿宋_GB2312" w:eastAsia="仿宋_GB2312" w:hAnsi="宋体" w:cs="宋体" w:hint="eastAsia"/>
                <w:kern w:val="0"/>
                <w:sz w:val="32"/>
                <w:szCs w:val="32"/>
              </w:rPr>
              <w:lastRenderedPageBreak/>
              <w:t>和创新能力提高。</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第四条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省发展改革委负责山东省企业技术中心（以下简称省级企业技术中心）的认定与运行评价。各市发展改革委（省属企业主管部门、中央驻鲁企业）负责省级企业技术中心的申报、管理等事项。</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w:t>
            </w:r>
          </w:p>
          <w:p w:rsidR="00F836B8" w:rsidRPr="00F836B8" w:rsidRDefault="00F836B8" w:rsidP="00F836B8">
            <w:pPr>
              <w:widowControl/>
              <w:spacing w:line="600" w:lineRule="exact"/>
              <w:jc w:val="center"/>
              <w:rPr>
                <w:rFonts w:ascii="宋体" w:eastAsia="宋体" w:hAnsi="宋体" w:cs="宋体"/>
                <w:color w:val="3D3D3D"/>
                <w:kern w:val="0"/>
                <w:szCs w:val="21"/>
              </w:rPr>
            </w:pPr>
            <w:r w:rsidRPr="00F836B8">
              <w:rPr>
                <w:rFonts w:ascii="黑体" w:eastAsia="黑体" w:hAnsi="黑体" w:cs="宋体" w:hint="eastAsia"/>
                <w:kern w:val="0"/>
                <w:sz w:val="32"/>
                <w:szCs w:val="32"/>
              </w:rPr>
              <w:t>第二章</w:t>
            </w:r>
            <w:r w:rsidRPr="00F836B8">
              <w:rPr>
                <w:rFonts w:ascii="宋体" w:eastAsia="宋体" w:hAnsi="宋体" w:cs="宋体" w:hint="eastAsia"/>
                <w:color w:val="3D3D3D"/>
                <w:kern w:val="0"/>
                <w:szCs w:val="21"/>
              </w:rPr>
              <w:t> </w:t>
            </w:r>
            <w:r w:rsidRPr="00F836B8">
              <w:rPr>
                <w:rFonts w:ascii="黑体" w:eastAsia="黑体" w:hAnsi="黑体" w:cs="宋体" w:hint="eastAsia"/>
                <w:kern w:val="0"/>
                <w:sz w:val="32"/>
                <w:szCs w:val="32"/>
              </w:rPr>
              <w:t>省级企业技术中心认定</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第五条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省级企业技术中心的认定，原则上每年进行一次。各市发展改革委（省属企业主管部门、中央驻鲁企业）按照省发展改革委通知要求报送申请材料。</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第六条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省级企业技术中心应当具备以下基本条件：</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（一）企业在行业中具有显著的发展优势和竞争优势，具有较强创新能力和较高创新水平；</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（二）企业具有较好的技术创新机制，企业技术中心组织体系健全，创新效率和效益显著；</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（三）有较高的研究开发投入，年度研究与试验发展经费支出额不低于500</w:t>
            </w: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万元；拥有技术水平高、实践经验丰富的技术带头人，专职研究与试验发展人员数不少于</w:t>
            </w: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60</w:t>
            </w: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人；</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（四）具有比较完善的研究、开发、试验条件，技术开发仪器设备原值不低于500</w:t>
            </w: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万元；有较好的技术积累，重视前沿技术开发，具有开展高水平技术创新活动的能力；</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lastRenderedPageBreak/>
              <w:t xml:space="preserve">　　（五）具有市级企业技术中心资格两年以上。</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企业在申请受理截止日期前三年内，不得存在下列情况：</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（一）因违反海关法及有关法律、行政法规，构成走私行为，受到刑事、行政处罚，或因严重违反海关监管规定受到行政处罚；</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（二）因违反税收征管法及有关法律、行政法规，构成偷税、骗取出口退税等严重税收违法行为；</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（三）司法、行政机关认定的其他严重违法失信行为。</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第七条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各市发展改革委（省属企业主管部门、中央驻鲁企业）根据本办法及当年省发展改革委通知推荐符合条件的企业技术中心，并将推荐企业技术中心名单及其申请材料（一式二份）报送省发展改革委。申请材料主要包括企业技术中心申请报告、评价表及必要的证明材料。</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第八条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省发展改革委委托专家依据评价指标体系进行评审并将评审结果向社会公示。</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第九条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省发展改革委在接受申报材料之日起</w:t>
            </w: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60个工作日之内发文，向各市发展改革委（省属企业主管部门、中央驻鲁企业）通报认定结果。</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w:t>
            </w:r>
          </w:p>
          <w:p w:rsidR="00F836B8" w:rsidRPr="00F836B8" w:rsidRDefault="00F836B8" w:rsidP="00F836B8">
            <w:pPr>
              <w:widowControl/>
              <w:spacing w:line="600" w:lineRule="exact"/>
              <w:jc w:val="center"/>
              <w:rPr>
                <w:rFonts w:ascii="宋体" w:eastAsia="宋体" w:hAnsi="宋体" w:cs="宋体"/>
                <w:color w:val="3D3D3D"/>
                <w:kern w:val="0"/>
                <w:szCs w:val="21"/>
              </w:rPr>
            </w:pPr>
            <w:r w:rsidRPr="00F836B8">
              <w:rPr>
                <w:rFonts w:ascii="黑体" w:eastAsia="黑体" w:hAnsi="黑体" w:cs="宋体" w:hint="eastAsia"/>
                <w:kern w:val="0"/>
                <w:sz w:val="32"/>
                <w:szCs w:val="32"/>
              </w:rPr>
              <w:t>第三章</w:t>
            </w:r>
            <w:r w:rsidRPr="00F836B8">
              <w:rPr>
                <w:rFonts w:ascii="宋体" w:eastAsia="宋体" w:hAnsi="宋体" w:cs="宋体" w:hint="eastAsia"/>
                <w:color w:val="3D3D3D"/>
                <w:kern w:val="0"/>
                <w:szCs w:val="21"/>
              </w:rPr>
              <w:t> </w:t>
            </w:r>
            <w:r w:rsidRPr="00F836B8">
              <w:rPr>
                <w:rFonts w:ascii="黑体" w:eastAsia="黑体" w:hAnsi="黑体" w:cs="宋体" w:hint="eastAsia"/>
                <w:kern w:val="0"/>
                <w:sz w:val="32"/>
                <w:szCs w:val="32"/>
              </w:rPr>
              <w:t>运行评价</w:t>
            </w:r>
          </w:p>
          <w:p w:rsidR="00F836B8" w:rsidRPr="00F836B8" w:rsidRDefault="00F836B8" w:rsidP="00F836B8">
            <w:pPr>
              <w:widowControl/>
              <w:spacing w:line="600" w:lineRule="exact"/>
              <w:jc w:val="center"/>
              <w:rPr>
                <w:rFonts w:ascii="宋体" w:eastAsia="宋体" w:hAnsi="宋体" w:cs="宋体"/>
                <w:color w:val="3D3D3D"/>
                <w:kern w:val="0"/>
                <w:szCs w:val="21"/>
              </w:rPr>
            </w:pPr>
            <w:r w:rsidRPr="00F836B8">
              <w:rPr>
                <w:rFonts w:ascii="仿宋_GB2312" w:eastAsia="仿宋_GB2312" w:hAnsi="宋体" w:cs="宋体" w:hint="eastAsia"/>
                <w:kern w:val="0"/>
                <w:sz w:val="32"/>
                <w:szCs w:val="32"/>
              </w:rPr>
              <w:t> </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第十条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省发展改革委原则上每两年组织一次省级企业技术中心运行评价，并于评价年度下发评价通知。</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lastRenderedPageBreak/>
              <w:t xml:space="preserve">　　各有关企业按照通知要求，编写评价材料，评价材料主要包括省级企业技术中心工作总结、评价表及必要的证明材料。</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各市发展改革委（省属企业主管部门、中央驻鲁企业）对省级企业技术中心评价材料真实性出具意见，并按通知要求将评价材料报送省发展改革委。</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第十一条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省发展改革委组织专家，依据评价指标体系，对各市发展改革委（省属企业主管部门、中央驻鲁企业）报送的评价材料进行评价，并形成评价结果和评价报告。</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第十二条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评价结果分为优秀、良好、基本合格和不合格：</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（一）评价得分</w:t>
            </w: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90</w:t>
            </w: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分及以上为优秀；</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（二）评价得分</w:t>
            </w: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65</w:t>
            </w: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分至</w:t>
            </w: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90</w:t>
            </w: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分（不含</w:t>
            </w: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90</w:t>
            </w: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分）为良好；</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（三）评价得分</w:t>
            </w: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60</w:t>
            </w: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分至</w:t>
            </w: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65</w:t>
            </w: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分（不含</w:t>
            </w: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65</w:t>
            </w: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分）为基本合格；</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（四）评价得分低于</w:t>
            </w: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60</w:t>
            </w: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分为不合格。</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第十三条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省发展改革委在受理评价材料之日起</w:t>
            </w: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30</w:t>
            </w:r>
            <w:r w:rsidRPr="00F836B8">
              <w:rPr>
                <w:rFonts w:ascii="仿宋_GB2312" w:eastAsia="仿宋_GB2312" w:hAnsi="宋体" w:cs="宋体" w:hint="eastAsia"/>
                <w:kern w:val="0"/>
                <w:sz w:val="32"/>
                <w:szCs w:val="32"/>
              </w:rPr>
              <w:t> </w:t>
            </w:r>
            <w:r w:rsidRPr="00F836B8">
              <w:rPr>
                <w:rFonts w:ascii="仿宋_GB2312" w:eastAsia="仿宋_GB2312" w:hAnsi="宋体" w:cs="宋体" w:hint="eastAsia"/>
                <w:kern w:val="0"/>
                <w:sz w:val="32"/>
                <w:szCs w:val="32"/>
              </w:rPr>
              <w:t>个工作日内，向各市发展改革委（省属企业主管部门、中央驻鲁企业）通报评价结果。</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w:t>
            </w:r>
          </w:p>
          <w:p w:rsidR="00F836B8" w:rsidRPr="00F836B8" w:rsidRDefault="00F836B8" w:rsidP="00F836B8">
            <w:pPr>
              <w:widowControl/>
              <w:spacing w:line="600" w:lineRule="exact"/>
              <w:jc w:val="center"/>
              <w:rPr>
                <w:rFonts w:ascii="宋体" w:eastAsia="宋体" w:hAnsi="宋体" w:cs="宋体"/>
                <w:color w:val="3D3D3D"/>
                <w:kern w:val="0"/>
                <w:szCs w:val="21"/>
              </w:rPr>
            </w:pPr>
            <w:r w:rsidRPr="00F836B8">
              <w:rPr>
                <w:rFonts w:ascii="黑体" w:eastAsia="黑体" w:hAnsi="黑体" w:cs="宋体" w:hint="eastAsia"/>
                <w:kern w:val="0"/>
                <w:sz w:val="32"/>
                <w:szCs w:val="32"/>
              </w:rPr>
              <w:t>第四章</w:t>
            </w:r>
            <w:r w:rsidRPr="00F836B8">
              <w:rPr>
                <w:rFonts w:ascii="宋体" w:eastAsia="宋体" w:hAnsi="宋体" w:cs="宋体" w:hint="eastAsia"/>
                <w:color w:val="3D3D3D"/>
                <w:kern w:val="0"/>
                <w:szCs w:val="21"/>
              </w:rPr>
              <w:t> </w:t>
            </w:r>
            <w:r w:rsidRPr="00F836B8">
              <w:rPr>
                <w:rFonts w:ascii="黑体" w:eastAsia="黑体" w:hAnsi="黑体" w:cs="宋体" w:hint="eastAsia"/>
                <w:kern w:val="0"/>
                <w:sz w:val="32"/>
                <w:szCs w:val="32"/>
              </w:rPr>
              <w:t>鼓励政策</w:t>
            </w:r>
          </w:p>
          <w:p w:rsidR="00F836B8" w:rsidRPr="00F836B8" w:rsidRDefault="00F836B8" w:rsidP="00F836B8">
            <w:pPr>
              <w:widowControl/>
              <w:spacing w:line="600" w:lineRule="exact"/>
              <w:jc w:val="center"/>
              <w:rPr>
                <w:rFonts w:ascii="宋体" w:eastAsia="宋体" w:hAnsi="宋体" w:cs="宋体"/>
                <w:color w:val="3D3D3D"/>
                <w:kern w:val="0"/>
                <w:szCs w:val="21"/>
              </w:rPr>
            </w:pPr>
            <w:r w:rsidRPr="00F836B8">
              <w:rPr>
                <w:rFonts w:ascii="宋体" w:eastAsia="宋体" w:hAnsi="宋体" w:cs="宋体" w:hint="eastAsia"/>
                <w:kern w:val="0"/>
                <w:sz w:val="32"/>
                <w:szCs w:val="32"/>
              </w:rPr>
              <w:t> </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第十四条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各级发展改革部门按照职能，对省级企业技术中</w:t>
            </w:r>
            <w:r w:rsidRPr="00F836B8">
              <w:rPr>
                <w:rFonts w:ascii="仿宋_GB2312" w:eastAsia="仿宋_GB2312" w:hAnsi="宋体" w:cs="宋体" w:hint="eastAsia"/>
                <w:kern w:val="0"/>
                <w:sz w:val="32"/>
                <w:szCs w:val="32"/>
              </w:rPr>
              <w:lastRenderedPageBreak/>
              <w:t>心予以支持。</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第十五条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支持省级企业技术中心承担国家、省级相关研发任务，享受国家优惠政策。</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w:t>
            </w:r>
          </w:p>
          <w:p w:rsidR="00F836B8" w:rsidRPr="00F836B8" w:rsidRDefault="00F836B8" w:rsidP="00F836B8">
            <w:pPr>
              <w:widowControl/>
              <w:spacing w:line="600" w:lineRule="exact"/>
              <w:jc w:val="center"/>
              <w:rPr>
                <w:rFonts w:ascii="宋体" w:eastAsia="宋体" w:hAnsi="宋体" w:cs="宋体"/>
                <w:color w:val="3D3D3D"/>
                <w:kern w:val="0"/>
                <w:szCs w:val="21"/>
              </w:rPr>
            </w:pPr>
            <w:r w:rsidRPr="00F836B8">
              <w:rPr>
                <w:rFonts w:ascii="黑体" w:eastAsia="黑体" w:hAnsi="黑体" w:cs="宋体" w:hint="eastAsia"/>
                <w:kern w:val="0"/>
                <w:sz w:val="32"/>
                <w:szCs w:val="32"/>
              </w:rPr>
              <w:t>第五章</w:t>
            </w:r>
            <w:r w:rsidRPr="00F836B8">
              <w:rPr>
                <w:rFonts w:ascii="宋体" w:eastAsia="宋体" w:hAnsi="宋体" w:cs="宋体" w:hint="eastAsia"/>
                <w:color w:val="3D3D3D"/>
                <w:kern w:val="0"/>
                <w:szCs w:val="21"/>
              </w:rPr>
              <w:t> </w:t>
            </w:r>
            <w:r w:rsidRPr="00F836B8">
              <w:rPr>
                <w:rFonts w:ascii="黑体" w:eastAsia="黑体" w:hAnsi="黑体" w:cs="宋体" w:hint="eastAsia"/>
                <w:kern w:val="0"/>
                <w:sz w:val="32"/>
                <w:szCs w:val="32"/>
              </w:rPr>
              <w:t>监督管理</w:t>
            </w:r>
          </w:p>
          <w:p w:rsidR="00F836B8" w:rsidRPr="00F836B8" w:rsidRDefault="00F836B8" w:rsidP="00F836B8">
            <w:pPr>
              <w:widowControl/>
              <w:spacing w:line="600" w:lineRule="exact"/>
              <w:jc w:val="center"/>
              <w:rPr>
                <w:rFonts w:ascii="宋体" w:eastAsia="宋体" w:hAnsi="宋体" w:cs="宋体"/>
                <w:color w:val="3D3D3D"/>
                <w:kern w:val="0"/>
                <w:szCs w:val="21"/>
              </w:rPr>
            </w:pPr>
            <w:r w:rsidRPr="00F836B8">
              <w:rPr>
                <w:rFonts w:ascii="仿宋_GB2312" w:eastAsia="仿宋_GB2312" w:hAnsi="宋体" w:cs="宋体" w:hint="eastAsia"/>
                <w:kern w:val="0"/>
                <w:sz w:val="32"/>
                <w:szCs w:val="32"/>
              </w:rPr>
              <w:t> </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第十六条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各市发展改革委（省属企业主管部门、中央驻鲁企业）应及时将省级企业技术中心所在企业发生更名、重组等变更情况及相关证明材料报送至省发展改革委，省发展改革委对相关情况进行确认并定期发文公布。</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第十七条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企业对其报送材料和数据真实性负责，各市发展改革委（省属企业主管部门、中央驻鲁企业）负责所属企业数据及信息的核实把关工作。</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第十八条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有下列情况之一的，撤销省级企业技术中心资格：</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（一）运行评价不合格；</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（二）逾期未报送评价材料；</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（三）提供虚假材料和数据；</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（四）主要由于技术原因发生重大质量、安全事故；</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（五）因违反国家有关法律法规受到刑事或行政处罚；</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（六）司法、行政机关认定的其他严重违法失信行为；</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（七）企业被依法终止。</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第十九条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各类因本办法第十八条第（一）、（二）项所列</w:t>
            </w:r>
            <w:r w:rsidRPr="00F836B8">
              <w:rPr>
                <w:rFonts w:ascii="仿宋_GB2312" w:eastAsia="仿宋_GB2312" w:hAnsi="宋体" w:cs="宋体" w:hint="eastAsia"/>
                <w:kern w:val="0"/>
                <w:sz w:val="32"/>
                <w:szCs w:val="32"/>
              </w:rPr>
              <w:lastRenderedPageBreak/>
              <w:t>原因被撤销省级企业技术中心资格的，自撤销之日起，各市发展改革委（省属企业主管部门、中央驻鲁企业）</w:t>
            </w:r>
            <w:r w:rsidRPr="00A5303B">
              <w:rPr>
                <w:rFonts w:ascii="仿宋_GB2312" w:eastAsia="仿宋_GB2312" w:hAnsi="宋体" w:cs="宋体" w:hint="eastAsia"/>
                <w:kern w:val="0"/>
                <w:sz w:val="32"/>
                <w:szCs w:val="32"/>
                <w:u w:val="single"/>
              </w:rPr>
              <w:t>两年内</w:t>
            </w:r>
            <w:r w:rsidRPr="00F836B8">
              <w:rPr>
                <w:rFonts w:ascii="仿宋_GB2312" w:eastAsia="仿宋_GB2312" w:hAnsi="宋体" w:cs="宋体" w:hint="eastAsia"/>
                <w:kern w:val="0"/>
                <w:sz w:val="32"/>
                <w:szCs w:val="32"/>
              </w:rPr>
              <w:t>不得再次推荐该企业。因本办法第十八条第（三）～（六）项所列原因被撤销省级企业技术中心资格的，自撤销之日起，各市发展改革委（省属企业主管部门、中央驻鲁企业）</w:t>
            </w:r>
            <w:r w:rsidRPr="00A5303B">
              <w:rPr>
                <w:rFonts w:ascii="仿宋_GB2312" w:eastAsia="仿宋_GB2312" w:hAnsi="宋体" w:cs="宋体" w:hint="eastAsia"/>
                <w:kern w:val="0"/>
                <w:sz w:val="32"/>
                <w:szCs w:val="32"/>
                <w:u w:val="single"/>
              </w:rPr>
              <w:t>三年内</w:t>
            </w:r>
            <w:r w:rsidRPr="00F836B8">
              <w:rPr>
                <w:rFonts w:ascii="仿宋_GB2312" w:eastAsia="仿宋_GB2312" w:hAnsi="宋体" w:cs="宋体" w:hint="eastAsia"/>
                <w:kern w:val="0"/>
                <w:sz w:val="32"/>
                <w:szCs w:val="32"/>
              </w:rPr>
              <w:t>不得再次推荐该企业。各市发展改革委（省属企业主管部门、中央驻鲁企业）负责指导和督促评价基本合格的省级企业技术中心改进工作。各市发展改革委（省属企业主管部门、中央驻鲁企业）要及时对技术中心出现的问题向省发展改革委进行报告。</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w:t>
            </w:r>
          </w:p>
          <w:p w:rsidR="00F836B8" w:rsidRPr="00F836B8" w:rsidRDefault="00F836B8" w:rsidP="00F836B8">
            <w:pPr>
              <w:widowControl/>
              <w:spacing w:line="600" w:lineRule="exact"/>
              <w:jc w:val="center"/>
              <w:rPr>
                <w:rFonts w:ascii="宋体" w:eastAsia="宋体" w:hAnsi="宋体" w:cs="宋体"/>
                <w:color w:val="3D3D3D"/>
                <w:kern w:val="0"/>
                <w:szCs w:val="21"/>
              </w:rPr>
            </w:pPr>
            <w:r w:rsidRPr="00F836B8">
              <w:rPr>
                <w:rFonts w:ascii="黑体" w:eastAsia="黑体" w:hAnsi="黑体" w:cs="宋体" w:hint="eastAsia"/>
                <w:kern w:val="0"/>
                <w:sz w:val="32"/>
                <w:szCs w:val="32"/>
              </w:rPr>
              <w:t>第六章</w:t>
            </w:r>
            <w:r w:rsidRPr="00F836B8">
              <w:rPr>
                <w:rFonts w:ascii="宋体" w:eastAsia="宋体" w:hAnsi="宋体" w:cs="宋体" w:hint="eastAsia"/>
                <w:color w:val="3D3D3D"/>
                <w:kern w:val="0"/>
                <w:szCs w:val="21"/>
              </w:rPr>
              <w:t> </w:t>
            </w:r>
            <w:r w:rsidRPr="00F836B8">
              <w:rPr>
                <w:rFonts w:ascii="黑体" w:eastAsia="黑体" w:hAnsi="黑体" w:cs="宋体" w:hint="eastAsia"/>
                <w:kern w:val="0"/>
                <w:sz w:val="32"/>
                <w:szCs w:val="32"/>
              </w:rPr>
              <w:t>附</w:t>
            </w:r>
            <w:r w:rsidRPr="00F836B8">
              <w:rPr>
                <w:rFonts w:ascii="宋体" w:eastAsia="宋体" w:hAnsi="宋体" w:cs="宋体" w:hint="eastAsia"/>
                <w:color w:val="3D3D3D"/>
                <w:kern w:val="0"/>
                <w:szCs w:val="21"/>
              </w:rPr>
              <w:t> </w:t>
            </w:r>
            <w:r w:rsidRPr="00F836B8">
              <w:rPr>
                <w:rFonts w:ascii="黑体" w:eastAsia="黑体" w:hAnsi="黑体" w:cs="宋体" w:hint="eastAsia"/>
                <w:kern w:val="0"/>
                <w:sz w:val="32"/>
                <w:szCs w:val="32"/>
              </w:rPr>
              <w:t>则</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第二十条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各市发展改革委可参考本办法，结合本地实际，在职责范围内依法制定相应政策，支持企业技术中心建设。</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第二十一条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本办法涉及的申请材料、评价材料和评价指标体系的内容和要求，由省发展改革委另行发布并适时调整。</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第二十二条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依据《中华人民共和国政府信息公开条例》，省级企业技术中心认定的相关信息向社会公开。省级企业技术中心的认定、运行评价等，逐步实现网上办理。</w:t>
            </w:r>
          </w:p>
          <w:p w:rsidR="00F836B8" w:rsidRPr="00F836B8" w:rsidRDefault="00F836B8" w:rsidP="00F836B8">
            <w:pPr>
              <w:widowControl/>
              <w:spacing w:line="600" w:lineRule="exact"/>
              <w:ind w:left="165"/>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第二十三条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本办法自发布之日起施行，有效期至2023年</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12月26日。原《山东省企业技术中心认定管理办法》废止。</w:t>
            </w:r>
          </w:p>
          <w:p w:rsidR="00F836B8" w:rsidRPr="00F836B8" w:rsidRDefault="00F836B8" w:rsidP="00F836B8">
            <w:pPr>
              <w:widowControl/>
              <w:spacing w:line="600" w:lineRule="exact"/>
              <w:rPr>
                <w:rFonts w:ascii="宋体" w:eastAsia="宋体" w:hAnsi="宋体" w:cs="宋体"/>
                <w:color w:val="3D3D3D"/>
                <w:kern w:val="0"/>
                <w:szCs w:val="21"/>
              </w:rPr>
            </w:pPr>
            <w:r w:rsidRPr="00F836B8">
              <w:rPr>
                <w:rFonts w:ascii="仿宋_GB2312" w:eastAsia="仿宋_GB2312" w:hAnsi="宋体" w:cs="宋体" w:hint="eastAsia"/>
                <w:kern w:val="0"/>
                <w:sz w:val="32"/>
                <w:szCs w:val="32"/>
              </w:rPr>
              <w:t xml:space="preserve">　　第二十四条</w:t>
            </w:r>
            <w:r w:rsidRPr="00F836B8">
              <w:rPr>
                <w:rFonts w:ascii="宋体" w:eastAsia="宋体" w:hAnsi="宋体" w:cs="宋体" w:hint="eastAsia"/>
                <w:color w:val="3D3D3D"/>
                <w:kern w:val="0"/>
                <w:szCs w:val="21"/>
              </w:rPr>
              <w:t> </w:t>
            </w:r>
            <w:r w:rsidRPr="00F836B8">
              <w:rPr>
                <w:rFonts w:ascii="仿宋_GB2312" w:eastAsia="仿宋_GB2312" w:hAnsi="宋体" w:cs="宋体" w:hint="eastAsia"/>
                <w:kern w:val="0"/>
                <w:sz w:val="32"/>
                <w:szCs w:val="32"/>
              </w:rPr>
              <w:t>本办法由省发展改革委负责解释。</w:t>
            </w:r>
          </w:p>
        </w:tc>
      </w:tr>
    </w:tbl>
    <w:p w:rsidR="002913D1" w:rsidRDefault="005748FC" w:rsidP="00F836B8">
      <w:pPr>
        <w:spacing w:line="600" w:lineRule="exact"/>
      </w:pPr>
    </w:p>
    <w:sectPr w:rsidR="002913D1" w:rsidSect="00F836B8">
      <w:footerReference w:type="default" r:id="rId10"/>
      <w:pgSz w:w="11906" w:h="16838"/>
      <w:pgMar w:top="1440" w:right="1361" w:bottom="1440"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8FC" w:rsidRDefault="005748FC" w:rsidP="00F836B8">
      <w:r>
        <w:separator/>
      </w:r>
    </w:p>
  </w:endnote>
  <w:endnote w:type="continuationSeparator" w:id="0">
    <w:p w:rsidR="005748FC" w:rsidRDefault="005748FC" w:rsidP="00F8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241275"/>
      <w:docPartObj>
        <w:docPartGallery w:val="Page Numbers (Bottom of Page)"/>
        <w:docPartUnique/>
      </w:docPartObj>
    </w:sdtPr>
    <w:sdtEndPr/>
    <w:sdtContent>
      <w:p w:rsidR="00F836B8" w:rsidRDefault="00F836B8">
        <w:pPr>
          <w:pStyle w:val="a6"/>
          <w:jc w:val="center"/>
        </w:pPr>
        <w:r>
          <w:fldChar w:fldCharType="begin"/>
        </w:r>
        <w:r>
          <w:instrText>PAGE   \* MERGEFORMAT</w:instrText>
        </w:r>
        <w:r>
          <w:fldChar w:fldCharType="separate"/>
        </w:r>
        <w:r w:rsidR="00924DD7" w:rsidRPr="00924DD7">
          <w:rPr>
            <w:noProof/>
            <w:lang w:val="zh-CN"/>
          </w:rPr>
          <w:t>3</w:t>
        </w:r>
        <w:r>
          <w:fldChar w:fldCharType="end"/>
        </w:r>
      </w:p>
    </w:sdtContent>
  </w:sdt>
  <w:p w:rsidR="00F836B8" w:rsidRDefault="00F836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8FC" w:rsidRDefault="005748FC" w:rsidP="00F836B8">
      <w:r>
        <w:separator/>
      </w:r>
    </w:p>
  </w:footnote>
  <w:footnote w:type="continuationSeparator" w:id="0">
    <w:p w:rsidR="005748FC" w:rsidRDefault="005748FC" w:rsidP="00F83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B8"/>
    <w:rsid w:val="00252843"/>
    <w:rsid w:val="005748FC"/>
    <w:rsid w:val="00884426"/>
    <w:rsid w:val="00924DD7"/>
    <w:rsid w:val="00A5303B"/>
    <w:rsid w:val="00A87F56"/>
    <w:rsid w:val="00A9555E"/>
    <w:rsid w:val="00AD17A6"/>
    <w:rsid w:val="00B516FB"/>
    <w:rsid w:val="00D17E78"/>
    <w:rsid w:val="00ED590A"/>
    <w:rsid w:val="00F72B8D"/>
    <w:rsid w:val="00F83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36B8"/>
  </w:style>
  <w:style w:type="character" w:styleId="a3">
    <w:name w:val="Hyperlink"/>
    <w:basedOn w:val="a0"/>
    <w:uiPriority w:val="99"/>
    <w:semiHidden/>
    <w:unhideWhenUsed/>
    <w:rsid w:val="00F836B8"/>
    <w:rPr>
      <w:color w:val="0000FF"/>
      <w:u w:val="single"/>
    </w:rPr>
  </w:style>
  <w:style w:type="paragraph" w:styleId="a4">
    <w:name w:val="Normal (Web)"/>
    <w:basedOn w:val="a"/>
    <w:uiPriority w:val="99"/>
    <w:unhideWhenUsed/>
    <w:rsid w:val="00F836B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F836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836B8"/>
    <w:rPr>
      <w:sz w:val="18"/>
      <w:szCs w:val="18"/>
    </w:rPr>
  </w:style>
  <w:style w:type="paragraph" w:styleId="a6">
    <w:name w:val="footer"/>
    <w:basedOn w:val="a"/>
    <w:link w:val="Char0"/>
    <w:uiPriority w:val="99"/>
    <w:unhideWhenUsed/>
    <w:rsid w:val="00F836B8"/>
    <w:pPr>
      <w:tabs>
        <w:tab w:val="center" w:pos="4153"/>
        <w:tab w:val="right" w:pos="8306"/>
      </w:tabs>
      <w:snapToGrid w:val="0"/>
      <w:jc w:val="left"/>
    </w:pPr>
    <w:rPr>
      <w:sz w:val="18"/>
      <w:szCs w:val="18"/>
    </w:rPr>
  </w:style>
  <w:style w:type="character" w:customStyle="1" w:styleId="Char0">
    <w:name w:val="页脚 Char"/>
    <w:basedOn w:val="a0"/>
    <w:link w:val="a6"/>
    <w:uiPriority w:val="99"/>
    <w:rsid w:val="00F836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36B8"/>
  </w:style>
  <w:style w:type="character" w:styleId="a3">
    <w:name w:val="Hyperlink"/>
    <w:basedOn w:val="a0"/>
    <w:uiPriority w:val="99"/>
    <w:semiHidden/>
    <w:unhideWhenUsed/>
    <w:rsid w:val="00F836B8"/>
    <w:rPr>
      <w:color w:val="0000FF"/>
      <w:u w:val="single"/>
    </w:rPr>
  </w:style>
  <w:style w:type="paragraph" w:styleId="a4">
    <w:name w:val="Normal (Web)"/>
    <w:basedOn w:val="a"/>
    <w:uiPriority w:val="99"/>
    <w:unhideWhenUsed/>
    <w:rsid w:val="00F836B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F836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836B8"/>
    <w:rPr>
      <w:sz w:val="18"/>
      <w:szCs w:val="18"/>
    </w:rPr>
  </w:style>
  <w:style w:type="paragraph" w:styleId="a6">
    <w:name w:val="footer"/>
    <w:basedOn w:val="a"/>
    <w:link w:val="Char0"/>
    <w:uiPriority w:val="99"/>
    <w:unhideWhenUsed/>
    <w:rsid w:val="00F836B8"/>
    <w:pPr>
      <w:tabs>
        <w:tab w:val="center" w:pos="4153"/>
        <w:tab w:val="right" w:pos="8306"/>
      </w:tabs>
      <w:snapToGrid w:val="0"/>
      <w:jc w:val="left"/>
    </w:pPr>
    <w:rPr>
      <w:sz w:val="18"/>
      <w:szCs w:val="18"/>
    </w:rPr>
  </w:style>
  <w:style w:type="character" w:customStyle="1" w:styleId="Char0">
    <w:name w:val="页脚 Char"/>
    <w:basedOn w:val="a0"/>
    <w:link w:val="a6"/>
    <w:uiPriority w:val="99"/>
    <w:rsid w:val="00F836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8036">
      <w:bodyDiv w:val="1"/>
      <w:marLeft w:val="0"/>
      <w:marRight w:val="0"/>
      <w:marTop w:val="0"/>
      <w:marBottom w:val="0"/>
      <w:divBdr>
        <w:top w:val="none" w:sz="0" w:space="0" w:color="auto"/>
        <w:left w:val="none" w:sz="0" w:space="0" w:color="auto"/>
        <w:bottom w:val="none" w:sz="0" w:space="0" w:color="auto"/>
        <w:right w:val="none" w:sz="0" w:space="0" w:color="auto"/>
      </w:divBdr>
      <w:divsChild>
        <w:div w:id="2081052214">
          <w:marLeft w:val="0"/>
          <w:marRight w:val="0"/>
          <w:marTop w:val="0"/>
          <w:marBottom w:val="0"/>
          <w:divBdr>
            <w:top w:val="none" w:sz="0" w:space="0" w:color="auto"/>
            <w:left w:val="none" w:sz="0" w:space="0" w:color="auto"/>
            <w:bottom w:val="none" w:sz="0" w:space="0" w:color="auto"/>
            <w:right w:val="none" w:sz="0" w:space="0" w:color="auto"/>
          </w:divBdr>
          <w:divsChild>
            <w:div w:id="2746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4)" TargetMode="External"/><Relationship Id="rId3" Type="http://schemas.openxmlformats.org/officeDocument/2006/relationships/settings" Target="settings.xml"/><Relationship Id="rId7" Type="http://schemas.openxmlformats.org/officeDocument/2006/relationships/hyperlink" Target="javascript:doZoom(1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doZoom(1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9</cp:revision>
  <dcterms:created xsi:type="dcterms:W3CDTF">2019-01-04T01:15:00Z</dcterms:created>
  <dcterms:modified xsi:type="dcterms:W3CDTF">2020-07-23T06:58:00Z</dcterms:modified>
</cp:coreProperties>
</file>