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山东省首台（套）技术装备及关键核心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零部件项目报告书模板</w:t>
      </w:r>
    </w:p>
    <w:p>
      <w:pPr>
        <w:spacing w:line="60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一、报告书封面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包括：产品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名称、申报类型、企业名称（盖章）、法定代表人、联系人、联系电话和电子邮箱等。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二、报告书内容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（一）山东省首台（套）技术装备及关键核心零部件申报表（见附表）。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（二）申请企业的基本情况。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（三）产品基本情况描述和申报理由。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（四）申报产品的国内外发展现状和趋势。</w:t>
      </w:r>
    </w:p>
    <w:p>
      <w:pPr>
        <w:snapToGrid w:val="0"/>
        <w:spacing w:line="600" w:lineRule="exact"/>
        <w:ind w:firstLine="616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（五）申报产品的技术开发及产业化水平。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具体包括：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开发背景、人才和技术支撑；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开发过程及测试、鉴定情况；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重点关键技术及该技术的突破对推动本行业技术进步的作用和意义；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产品知识产权权益状况和品牌建设情况；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产品原理、结构、性能指标等方面与国内外同类产品的比较情况。</w:t>
      </w:r>
    </w:p>
    <w:p>
      <w:pPr>
        <w:snapToGrid w:val="0"/>
        <w:spacing w:line="600" w:lineRule="exact"/>
        <w:ind w:firstLine="616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（六）产品发展前景。</w:t>
      </w:r>
      <w:r>
        <w:rPr>
          <w:rFonts w:hint="eastAsia" w:ascii="仿宋_GB2312" w:hAnsi="??" w:eastAsia="仿宋_GB2312" w:cs="仿宋_GB2312"/>
          <w:color w:val="000000"/>
          <w:spacing w:val="-6"/>
          <w:kern w:val="0"/>
          <w:sz w:val="32"/>
          <w:szCs w:val="32"/>
        </w:rPr>
        <w:t>具体包括：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市场定位、供需预测、市场份额、产品质量和档次、竞争优势等。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（七）产品的经济效益和社会效益情况。</w:t>
      </w:r>
    </w:p>
    <w:p>
      <w:pPr>
        <w:spacing w:line="600" w:lineRule="exact"/>
        <w:ind w:firstLine="616" w:firstLineChars="200"/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（八）产品的技术经济总体评价。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463F2"/>
    <w:rsid w:val="0FB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松籽松果爸爸</dc:creator>
  <cp:lastModifiedBy>松籽松果爸爸</cp:lastModifiedBy>
  <dcterms:modified xsi:type="dcterms:W3CDTF">2020-04-21T01:45:37Z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