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第十届中国创新创业大赛组织方案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科技创新，成就大业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（一）参与单位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指导单位：科技部、财政部、教育部、中央网信办、全国工商联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支持单位：致公党中央、共青团中央、科技日报社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招商银行、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上海证券交易所、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深圳证券交易所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办单位：科技部火炬高技术产业开发中心（科技部科技型中小企业技术创新基金管理中心），各省、自治区、直辖市及计划单列市科技厅（委、局），新疆生产建设兵团科技局，北京国科中小企业科技创新发展基金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深圳证券信息有限公司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协办单位：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中国互联网投资基金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全国中小企业股份转让系统有限责任公司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各国家高新技术产业开发区管委会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特别支持：招商银行创新创业公益基金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（二）大赛组织委员会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大赛指导单位、支持单位、承办单位共同组成大赛组织委员会。组委会办公室设在科技部火炬高技术产业开发中心，负责大赛各项工作的具体执行。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三、参赛条件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1.企业具有创新能力和高成长潜力，主要从事高新技术产品研发、制造、服务等业务，拥有知识产权且无产权纠纷。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2.企业经营规范、社会信誉良好、无不良记录，且为非上市企业。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3.企业20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年营业收入不超过2亿元人民币。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4.企业注册成立时间在201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年1月1日（含）以后。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5.全国赛按照初创企业组和成长企业组进行比赛。工商注册时间在20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年1月1日（含）之后的企业方可参加初创企业组比赛，工商注册时间在201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年12月31日（含）之前的企业只能参加成长企业组比赛。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6.入围全国赛的成长组企业，须获得202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年科技型中小企业的入库登记编号（登记网址：www.innofund.gov.cn）；对初创组企业不作此项要求。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前九届大赛全国总决赛或全国行业总决赛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获得一二三名或一二三等奖的企业不参加本届大赛。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四、地方赛工作流程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（一）报名参赛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自评符合参赛条件的企业自愿登录中国创新创业大赛官网（网址：www.cxcyds.com）统一注册报名。报名企业在进行注册和统一身份认证后，应提交完整报名材料，并对所填信息的准确性和真实性负责。大赛官网是报名参赛的唯一渠道，其他报名渠道均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注册截止时间：202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报名截止时间：202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各省、自治区、直辖市及计划单列市科技厅（委、局），新疆生产建设兵团科技局（以下简称省级科技管理部门）负责辖区内企业报名材料的形式审查，对符合参赛条件且提交报名材料完整的企业确认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参赛资格确认截止时间：202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（二）地方赛比赛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1.地方赛由省级科技管理部门负责牵头组织，落实比赛方案、组织机构、赛事费用等有关事项，加强对赛事的管理，接受社会对赛事的监督。坚持赛事的公益性，不向参赛企业收取任何参赛费用。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2.地方赛主名称为：第十届中国创新创业大赛*赛区（“*”为省、自治区、直辖市及计划单列市、新疆生产建设兵团名称），同时各地可冠以反映地方特点的副名称。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3.地方赛采用逐级遴选方式产生优胜企业，初赛环节要突出项目科技创新性评价指标，比赛评选要注重发挥创业投资专家作用。组织单位要严格落实当地疫情防控工作要求，自主确定比赛方式。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4.地方赛整体比赛方案应向社会公布，各比赛环节的相关评审资料应留档备查。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5.省级科技管理部门自主设立地方赛奖项，并积极为参赛企业提供政策支持和多元化服务。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6.不举办地方赛省份的参赛企业，由省级科技管理部门间协商参加相关地方赛区比赛。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地方赛比赛时间：202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年8月至9月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（三）入围推荐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1.大赛组委会办公室根据举办地方赛情况和参赛企业数量，分配各赛区入围全国赛名额。省级科技管理部门结合地方赛成绩产生拟入围企业。成长组的入围企业须在推荐时获得202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年科技型中小企业入库登记编号。未获得编号的成长组企业不得参加全国赛。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2.省级科技管理部门书面推荐入围全国赛的企业，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附尽职调查报告，并完成网上推荐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程序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。未在规定时间内完成书面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网上推荐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未附尽职调查报告的企业，不得入围全国赛。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3.大赛组委会办公室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在大赛官网公示入围全国赛企业和项目名单，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接受社会监督。通过公示的企业方可参加全国赛，未通过公示的将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被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入围推荐截止时间：202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年9月1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五、专业赛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专业赛由大赛组委会办公室牵头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，按专场举办，采用线下或网上评审方式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进行。专业赛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组织方案和服务政策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将在大赛官网专门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val="en-US" w:eastAsia="zh-CN"/>
        </w:rPr>
        <w:t>（一）颠覆性技术专业赛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为加快建立颠覆性、非公示性项目发现和支持机制，充分利用大赛优势和资源，探索建立颠覆性技术项目“征集—识别—培育”的新机制，推动科技部颠覆性技术创新重点专项组织实施。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大中小企业融通专业赛。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发挥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知名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龙头骨干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主体作用，聚焦大企业相关细分产业领域，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携手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优秀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参赛企业共同打造资源共享、合作共赢的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创新链、产业链和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生态圈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促进大中小企业协同创新创业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产业技术创新专业赛。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发挥科技型中小企业技术创新活力和潜力，选择重点、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热点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细分领域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，突出关键技术方向，运用市场机制，集聚并发掘一批高水平创新项目，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促进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社会资本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科技型中小企业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开展产业关键技术创新。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科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技计划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项目产业化专业赛。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国家或省级重点科技计划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，聚焦科技型中小企业承担的科技项目产业化融资需求，以市场为导向，展示优秀科技型中小企业、发现科技项目的市场新价值，促进形成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社会资本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参与支持科技计划项目产业化的机制。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（五）技术融合专业赛。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面向民用与国防双向应用技术开发的科技型中小企业及团队，发掘和培育符合国家需求导向的技术融合创新生力军，搭建技术融合交流合作网络平台，促进市场机制驱动下的技术融合创新与资源整合。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全国赛比赛安排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（一）全国半决赛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1.全国半决赛由大赛组委会办公室负责组织，根据大赛进展情况，按一个或多个战略性新兴产业领域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新一代信息技术、生物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医药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、高端装备制造、新材料、新能源、新能源汽车、节能环保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进行优化分组，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线下或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网上评审方式进行比赛。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2.全国半决赛按初创企业组400个和成长企业组1100个左右规模进行比赛。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.全国半决赛结束后，评选出600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左右大赛优秀企业。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（二）全国总决赛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1.全国总决赛产生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第十届中国创新创业大赛“创新创业50强”，并产生一二三等奖。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2.全国总决赛采用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公开路演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方式，评委以创投专家为主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比赛向观众开放，并通过网络平台进行直播。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全国总决赛比赛时间：202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年10月底或11月初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七、服务政策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择优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国家中小企业发展基金设立的子基金、国家科技成果转化引导基金设立的子基金、科技型中小企业创业投资引导基金设立的子基金、中国互联网投资基金等国家级投资基金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等推荐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大赛合作银行择优给予贷款授信支持。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择优推荐参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“创新人才推进计划”等相关计划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相关展览交流等活动。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促进与大企业的对接与合作，打造资源共享、合作共赢的创新链、产业链和生态圈，促进产业融通创新。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41E4A"/>
    <w:rsid w:val="59B4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616" w:firstLineChars="200"/>
      <w:outlineLvl w:val="0"/>
    </w:pPr>
    <w:rPr>
      <w:rFonts w:eastAsia="黑体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240" w:beforeLines="0" w:line="500" w:lineRule="exact"/>
    </w:pPr>
    <w:rPr>
      <w:rFonts w:ascii="宋体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2021-05-27T08:08:00Z</dcterms:created>
  <dc:creator>Administrator</dc:creator>
  <cp:lastModifiedBy>Administrator</cp:lastModifiedBy>
  <dcterms:modified xsi:type="dcterms:W3CDTF">2021-05-27T08:09:41Z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