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首批营商环境创新试点改革事项清单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（共10个方面101项改革举措）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W w:w="95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6"/>
        <w:gridCol w:w="1766"/>
        <w:gridCol w:w="4945"/>
        <w:gridCol w:w="18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jc w:val="center"/>
        </w:trPr>
        <w:tc>
          <w:tcPr>
            <w:tcW w:w="7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b/>
                <w:bCs/>
                <w:kern w:val="0"/>
                <w:sz w:val="20"/>
                <w:szCs w:val="20"/>
                <w:bdr w:val="none" w:color="auto" w:sz="0" w:space="0"/>
                <w:lang w:val="en-US" w:eastAsia="zh-CN" w:bidi="ar"/>
              </w:rPr>
              <w:t>序号</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b/>
                <w:bCs/>
                <w:kern w:val="0"/>
                <w:sz w:val="20"/>
                <w:szCs w:val="20"/>
                <w:bdr w:val="none" w:color="auto" w:sz="0" w:space="0"/>
                <w:lang w:val="en-US" w:eastAsia="zh-CN" w:bidi="ar"/>
              </w:rPr>
              <w:t>改革事项</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b/>
                <w:bCs/>
                <w:kern w:val="0"/>
                <w:sz w:val="20"/>
                <w:szCs w:val="20"/>
                <w:bdr w:val="none" w:color="auto" w:sz="0" w:space="0"/>
                <w:lang w:val="en-US" w:eastAsia="zh-CN" w:bidi="ar"/>
              </w:rPr>
              <w:t>主要内容</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b/>
                <w:bCs/>
                <w:kern w:val="0"/>
                <w:sz w:val="20"/>
                <w:szCs w:val="20"/>
                <w:bdr w:val="none" w:color="auto" w:sz="0" w:space="0"/>
                <w:lang w:val="en-US" w:eastAsia="zh-CN" w:bidi="ar"/>
              </w:rPr>
              <w:t>主管部门和单位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一、进一步破除区域分割和地方保护等不合理限制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1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left"/>
              <w:textAlignment w:val="center"/>
            </w:pPr>
            <w:r>
              <w:rPr>
                <w:rFonts w:hint="eastAsia" w:ascii="宋体" w:hAnsi="宋体" w:eastAsia="宋体" w:cs="宋体"/>
                <w:kern w:val="0"/>
                <w:sz w:val="20"/>
                <w:szCs w:val="20"/>
                <w:bdr w:val="none" w:color="auto" w:sz="0" w:space="0"/>
                <w:lang w:val="en-US" w:eastAsia="zh-CN" w:bidi="ar"/>
              </w:rPr>
              <w:t>1 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开展“一照多址”、“一证多址”改革</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除直接涉及公共安全和人民群众生命健康的领域外，对符合条件的企业，允许在营业执照上加载新设立住所（经营场所）的地址，免于分支机构登记；对部分高频办理的经营许可证，探索允许企业在一定区域内开设经营项目相同的分支机构时，就其符合许可条件作出承诺后，免于再次办理相关许可证，相关部门加强事后核查和监管。</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便利企业分支机构、连锁门店信息变更</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大型企业分支机构办理不涉及新办许可证的信息变更时，在试点城市内可实行集中统一办理。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5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清除招投标和政府采购领域对外地企业设置的隐性门槛和壁垒</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清理取消要求投标单位必须在项目所在地或采购人所在地设立分公司或办事处等排斥外地投标人的行为，同步完善与统一开放的招投标和政府采购市场相适应的监管模式。</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国家发展改革委、财政部等国务院相关部门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4"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推动招投标领域数字证书兼容互认</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企业在任意试点城市公共资源交易平台完成注册后，即可在全部试点城市及其区县参与投标，做到只需注册一次，只用一套CA证书。</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2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推进客货运输电子证照跨区域互认与核验</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试点城市制作和发放的道路运输从业人员从业资格证（道路客、货运）、道路运输经营许可证（道路客、货运）、道路运输证（道路客、货运）、营运客车二维码（包含道路运输证、道路客运班线经营信息表的信息）、国内水路运输经营许可证、船舶营业运输证、内河船舶证书信息簿等7类电子证照在试点城市间互认，执法检查部门通过电子证照二维码在线核验、网站查询等方式核验电子证照真伪。</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交通运输部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4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优化常用低风险植物和植物产品跨区域流通检疫申请流程</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点城市明确以本城市为调入地、必须经过检疫的常用低风险植物和植物产品的检疫要求，并在“全国植物检疫信息化管理系统”和“林业植物检疫管理信息系统”中进行公示，调出地植物检疫机构根据公示要求进行检疫，并出具检疫证书，企业在收到检疫合格证书后即可调运。改革后，调入地植物检疫机构按职责做好对检疫证书的查验审核，并完善复检制度，严格把好植物和植物产品跨省调运的检疫关。</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农业农村部、国家林草局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二、健全更加开放透明、规范高效的市场主体准入和退出机制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2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拓展企业开办“一网通办”业务范围</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在企业开办过程中，将社保登记后续环节一并纳入“一网通办”平台。推进电子营业执照、电子发票、电子签章同步发放及应用，方便企业网上办事。</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市场监管总局、人力资源社会保障部、税务总局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进一步便利企业开立银行账户</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探索整合企业开办实名验证信息、企业登记信息和银行开户备案信息，自然人、法人等通过线上平台申请营业执照时，经企业授权同意后，线上平台将有关基本信息和银行开户预约信息实时推送给申请人选定的开户银行，开户银行生成企业账户预约账号，并通过线上平台推送给税务、人力资源社会保障、住房公积金管理部门。开户银行根据预约需求，按规定为企业开立账户后，及时将相关信息通过线上平台推送至相关部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市场监管总局、人民银行、公安部、人力资源社会保障部、住房城乡建设部、税务总局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开展不含行政区划名称的企业名称自主申报</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下放不含行政区划名称的企业名称登记权至试点城市，全面实行企业名称自主申报。</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5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优化律师事务所核名管理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试点城市司法行政部门律师管理系统同司法部全国律师综合管理信息系统律师事务所名称数据库进行对接，对申请人申请的律师事务所名称，由试点城市司法行政部门作出名称预核准决定并报司法部备案，缩短核名时限。</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司法部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企业住所（经营场所）标准化登记</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通过相关部门数据共享，建立标准化住所（经营场所）数据库，建立健全住所（经营场所）负面清单管理制度，在便利住所登记的同时，防范虚假住所等突出风险。</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9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试行企业登记信息变更网上办理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通过企业开办“一网通办”平台完成登记注册的企业，可通过平台实现全程网上办理变更手续。</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推行企业年度报告“多报合一”改革</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相关部门可依法依规共享企业年度报告有关信息，企业只需填报一次年度报告，无需再向多个部门重复报送相关信息，实现涉及市场监管、社保、税务、海关等事项年度报告的“多报合一”。</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市场监管总局、人力资源社会保障部、海关总署、税务总局</w:t>
            </w:r>
          </w:p>
        </w:tc>
      </w:tr>
      <w:tr>
        <w:tblPrEx>
          <w:shd w:val="clear"/>
          <w:tblCellMar>
            <w:top w:w="0" w:type="dxa"/>
            <w:left w:w="0" w:type="dxa"/>
            <w:bottom w:w="0" w:type="dxa"/>
            <w:right w:w="0" w:type="dxa"/>
          </w:tblCellMar>
        </w:tblPrEx>
        <w:trPr>
          <w:trHeight w:val="140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建立市场准入效能评估制度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围绕市场准入负面清单制度落实情况、市场准入审批服务效能、市场准入隐性壁垒破除等方面，对市场准入效能进行综合评估。对违反市场准入负面清单制度情况进行监测、归集、通报。进一步畅通市场主体对隐性壁垒的投诉渠道和处理回应机制。</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6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探索建立市场主体除名制度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被列入经营异常名录或者被标记为经营异常状态满两年，且近两年未申报纳税的市场主体，商事登记机关可对其作出除名决定。除名后，市场主体应当依法完成清算、办理注销登记，且不得从事与清算和注销无关的活动。被除名期间市场主体存续，并可对除名决定申请行政复议或提起行政诉讼。</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优化破产企业土地、房产处置程序</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企业破产案件中因债务人资料缺失或第三方机构（如设计、勘察、监理等单位）不配合竣工验收等情形导致无法办理竣工验收的建设工程，经委托有关专业机构对工程质量进行安全鉴定合格后，可办理不动产登记。</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最高人民法院，自然资源部、住房城乡建设部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3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优化破产案件财产解封及处置机制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破产案件财产处置协调机制，破产案件经试点城市人民法院裁定受理后，由破产管理人通知债权人及相关单位进行财产解封，破产管理人对已查封的财产进行处置时无须再办理解封手续。债务人在试点城市的不动产或动产等实物资产被相关单位查封后，查封单位未依法解封的，允许破产管理人对被查封的财产进行处置。处置后依据破产受理法院出具的文件办理解封和资产过户、移交手续，资产处置所得价款经与查封单位协调一致后，统一分配处置。</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最高人民法院，公安部、自然资源部、人民银行、海关总署、税务总局、市场监管总局等国务院相关部门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1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进一步便利破产管理人查询破产企业财产信息</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允许破产管理人通过线上注册登录等方式，经身份核验后，依法查询有关机构（包括土地管理、房产管理、车辆管理、税务、市场监管、社保等部门和单位）掌握的破产企业财产相关信息，提高破产办理效率。</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最高人民法院，公安部、人力资源社会保障部、自然资源部、住房城乡建设部、税务总局、市场监管总局等国务院相关部门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2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健全企业重整期间信用修复机制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人民法院裁定批准重整计划的破产企业，可以申请在“信用中国”网站、国家企业信用信息公示系统、金融信用信息基础数据库中添加相关信息，及时反映企业重整情况；有关部门依法依规调整相关信用限制和惩戒措施。探索重整计划执行期间赋予符合条件的破产企业参与招投标、融资、开具保函等资格。</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最高人民法院，国家发展改革委、财政部、人民银行、税务总局、市场监管总局、银保监会等国务院相关部门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进一步完善破产管理人选任、预重整等制度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允许破产企业的相关权利人推荐破产管理人，并由人民法院指定。探索建立破产预重整制度。</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三、持续提升投资和建设便利度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2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21 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推进社会投资项目“用地清单制”改革</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土地供应前，可开展地质灾害、地震安全、压覆矿产、气候可行性、水资源论证、水土保持、防洪、考古调查勘探发掘等评估，并对文物、历史建筑保护对象、古树名木、人防工程、地下管线等进行现状普查，形成评估结果和普查意见清单，在土地供应时一并交付用地单位。相关单位在项目后续报建或验收环节，原则上不得增加清单外的要求。改革后，相关单位提升评估的科学性、精准性及论证深度，避免企业拿地后需重复论证。同时，当项目外部条件发生变化，相关单位及时对评估报告等进行调整完善。</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国家发展改革委、自然资源部、住房城乡建设部、水利部、中国气象局、国家林草局、国家文物局、中国地震局、国家人防办等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67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试行分阶段整合相关测绘测量事项</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将勘测定界测绘、宗地测绘合并为一个测绘事项；将房产预测绘、人防面积预测绘、定位测量、建设工程规划验线、正负零检测等事项，在具备条件的情况下进行整合；将竣工规划测量、用地复核测量、房产测量、机动车停车场（库）测量、绿地测量、人防测量、地下管线测量等事项，在具备条件的情况下进行整合。加快统一相关测绘测量技术标准，实现同一阶段“一次委托、成果共享”，避免对同一标的物重复测绘测量。</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自然资源部、住房城乡建设部、交通运输部、国家人防办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2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推行水电气暖等市政接入工程涉及的行政审批在线并联办理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供电、供水、供气、供暖等市政接入工程涉及的建设工程规划许可、绿化许可、涉路施工许可等实行全程在线并联办理，对符合条件的市政接入工程审批实行告知承诺管理。改革后，有关行政审批部门加强抽查核验力度，对虚假承诺、违反承诺等行为实行惩戒。</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住房城乡建设部、公安部、自然资源部、交通运输部、国家电网有限公司、中国南方电网有限责任公司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开展联合验收“一口受理”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对实行联合验收的工程建设项目，由住房城乡建设主管部门“一口受理”建设单位申请，并牵头协调相关部门限时开展联合验收，避免建设单位反复与多个政府部门沟通协调。</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住房城乡建设部、自然资源部、国家人防办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2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进一步优化工程建设项目联合验收方式</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实行联合验收的工程建设项目，根据项目类别科学合理确定纳入联合验收的事项，原则上未经验收不得投入使用的事项（如规划核实、人防备案、消防验收、消防备案、竣工备案、档案验收等）应当纳入联合验收，其他验收事项可根据实际情况纳入，并综合运用承诺制等多种方式灵活办理验收手续，提高验收效率，减少企业等待时间，加快项目投产使用。改革后，相关主管部门和单位对未纳入联合验收的事项也要依申请及时进行验收，并优化验收流程，对验收时发现的问题及时督促建设单位整改。</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住房城乡建设部、自然资源部、国家人防办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6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简化实行联合验收的工程建设项目竣工验收备案手续</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对实行联合验收的工程建设项目，可在通过联合验收后现场出具竣工联合验收意见书，政府部门直接备案，不动产登记等相关部门通过系统数据共享获得需要的验收结果，企业无需再单独办理竣工验收备案。</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住房城乡建设部、自然资源部、国家人防办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9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试行对已满足使用功能的单位工程开展单独竣工验收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办理了一张建设工程规划许可证但涉及多个单位工程的工程建设项目，在符合项目整体质量安全要求、达到安全使用条件的前提下，对已满足使用功能的单位工程可采用单独竣工验收方式，单位工程验收合格后，可单独投入使用。改革后，试点城市建立完善单位工程竣工验收标准，加强风险管控，确保项目整体符合规划要求和质量安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住房城乡建设部、自然资源部、国家人防办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3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推进产业园区规划环评与项目环评联动</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在环境质量符合国家相关考核要求、环境管理体系较为健全的产业园区，对环境影响较小的项目环评，探索入园建设项目环评改革，推进规划环评与项目环评联动，避免重复评价。改革后，对相关产业园区加强环境监测，明确园区及园区内企业环境风险防范责任，对破坏生态环境的项目及时依法依规处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生态环境部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1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下放部分工程资质行政审批权限</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将省级审批的电子与智能化工程二级、消防设施工程二级、防水防腐保温工程二级、建筑装修装饰工程二级、建筑幕墙工程二级和特种工程资质的审批（包括企业发生重组、合并、分立、跨省变更等事项后资质核定），下放至北京市、上海市、重庆市市辖区（县）和杭州市、广州市、深圳市有关部门。改革后，试点城市明确承接机构、加强专业培训，做好事中事后监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8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建立完善建筑师负责制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推动有序发展建筑师个人执业事务所。探索在民用建筑工程领域推进和完善建筑师负责制，充分发挥建筑师的主导作用，鼓励提供全过程工程咨询服务，与国际工程建设模式接轨。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四、更好支持市场主体创新发展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4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31 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允许对食品自动制售设备等新业态发放食品经营许可</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在保障食品安全和符合相关法律法规规定的前提下，经充分研究论证和开展风险评估，对自动制售设备、无人售货商店等自动化、无人化新业态的经营者发放食品经营许可或办理食品经营备案。</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在确保安全的前提下试行高精度地图面向智能网联汽车使用</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在取得相关资质和确保安全的前提下，试行高精度地图在限定路段面向智能网联汽车使用，允许不涉及国家安全的自动驾驶高精度地图数据在限定路段采集和使用，同步健全细致完备的监管措施，确保监管到位。</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1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进一步探索完善知识产权市场化定价和交易机制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探索建立跨区域知识产权交易服务平台，为知识产权交易提供信息挂牌、交易撮合、资产评估等服务，帮助科技企业快速质押融资。</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国家知识产权局、财政部、国家版权局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0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健全知识产权质押融资风险分担机制和质物处置机制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健全政府引导的知识产权质押融资风险分担和补偿机制，综合运用担保、风险补偿等方式降低信贷风险。探索担保机构等通过质权转股权、反向许可、拍卖等方式快速进行质物处置，保障金融机构对质权的实现。</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国家知识产权局、人民银行、国家版权局、银保监会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29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开展赋予科研人员职务科技成果所有权或长期使用权试点</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赋予试点城市部分高等院校、科研机构的科研人员职务科技成果所有权或长期使用权。试点高等院校和科研机构将本单位利用财政性资金形成或接受企业、其他社会组织委托形成的归单位所有的职务科技成果所有权按一定比例赋予成果完成人（团队），试点单位与成果完成人（团队）成为共同所有权人。试点单位可赋予科研人员不低于10年的职务科技成果长期使用权。</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科技部、教育部、财政部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7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优化科技企业孵化器及众创空间信息变更管理模式</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科技部门线上信息服务系统中增设国家备案科技企业孵化器及众创空间信息变更申请、审批和修改功能，增设科技企业孵化器及众创空间所属区域变更修改功能。对于名称、场地面积、经营场所等信息变更，由试点城市科技主管部门审批同意后即可变更，并将变更信息推送至国家科技主管部门。国家科技主管部门对相关信息变更的情况开展抽查检查和事中事后监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科技部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6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培育数据要素市场</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开展数据确权探索，实现对数据主权的可控可管，推动数据安全有序流动。在数据流通、数据安全等方面加快形成开放环境下的新型监管体系。</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国家发展改革委、工业和信息化部、国家网信办等国务院相关部门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24"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有序开放公共管理和服务机构产生的部分公共数据</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按照分级分类、需求导向、安全可控的原则，探索向社会进一步开放公共管理和服务机构在履行职责或提供服务时产生、处理的公共数据，引导科研院所、社会团体等依法依规开放自有数据，并规范数据处理活动，促进数据流动和开发利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国家发展改革委、工业和信息化部、国家网信办等国务院相关部门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五、持续提升跨境贸易便利化水平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39 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探索开展“组合港”、“一港通”等区域通关便利化改革</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探索开展粤港澳大湾区“组合港”、“一港通”等改革，优化相关货物的转关手续，鼓励和支持试点城市进一步创新口岸通关监管方式，提升区域通关便利化水平。</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海关总署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44"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推动与东亚地区主要贸易伙伴口岸间相关单证联网核查</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在确保信息安全的前提下，推动试点城市实现与日本、韩国、香港等东亚地区主要贸易伙伴和经济体口岸的相关单证联网核查。</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海关总署、商务部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优化进出口货物查询服务</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利用“单一窗口”为企业及相关机构提供进出口货物全流程查询服务。基于企业授权，企业申报信息可为金融机构开展融资、收结汇服务提供信用依据。</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海关总署、商务部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1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实行进出口联合登临检查</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依托“单一窗口”将查验通知推送给口岸作业场站，开发“单一窗口”预约联合登临检查功能等，实现通关和物流操作快速衔接，提高进出口货物提离速度。</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海关总署、交通运输部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4"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加强铁路信息系统与海关信息系统的数据交换共享</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加强铁路信息系统与海关信息系统的数据交换共享，实现相关单证电子化流转，大力推广铁路口岸“快速通关”业务模式，压缩列车停留时间，提高通关效率。</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海关总署、国家铁路局、中国国家铁路集团有限公司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0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推进水铁空公多式联运信息共享</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打破制约多式联运发展的信息壁垒，推进铁路、公路、水路、航空等运输环节信息对接共享，实现运力信息可查、货物全程实时追踪等，促进多种运输方式协同联动。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交通运输部、海关总署、国家铁路局、中国民航局、国家邮政局、中国国家铁路集团有限公司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5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进一步深化进出口货物“提前申报”、“两步申报”、“船边直提”、“抵港直装”等改革</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推行进出口货物“提前申报”、“两步申报”措施。在有条件的港口推进进口货物“船边直提”和出口货物“抵港直装”。</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海关总署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4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在“CCC免办及特殊用途进口产品检测处理管理系统”中为符合条件的企业开设便捷通道</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对符合条件的企业进口免强制性产品认证（CCC认证）产品目录内的产品，免于CCC免办证书申请和审核，实现“白名单企业”自我承诺、自主填报、自动获证。试点城市制定免予办理CCC认证便捷通道操作办法等，做好全链条闭环监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市场监管总局、海关总署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3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探索开展科研设备、耗材跨境自由流动，简化研发用途设备和样本样品进出口手续</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制定跨境科研用物资正面清单，对正面清单列明的科研设备、科研样本、实验试剂、耗材等科研物资实行单位事先承诺申报、海关便利化通关的管理模式，简化报关单申报、检疫审批、监管证件管理等环节。对国外已上市但国内未注册的研发用医疗器械，准许企业在强化自主管理、确保安全的前提下进口，海关根据相关部门意见办理通关手续。</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科技部、商务部、国家卫生健康委、海关总署、市场监管总局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六、优化外商投资和国际人才服务管理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48 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建立涉外商事一站式多元解纷中心</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支持试点城市建立涉外商事一站式多元解纷中心，为国际商事纠纷提供多元、高效、便捷解纷渠道。探索建立健全线上、线下解纷平台，引入国内调解组织、仲裁机构。鼓励调解组织、仲裁机构引入外籍调解员、仲裁员。</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最高人民法院，司法部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探索将境内仲裁机构的开庭通知作为签证材料</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允许将境内仲裁机构出具的开庭通知作为境外市场主体进入试点城市参与仲裁活动的签证材料，无需其他邀请函件。</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外交部、司法部、国家移民局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探索制定外籍“高精尖缺”人才地方认定标准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结合国家外国高端人才、专业人才标准和本地区实际需求，探索制定外籍“高精尖缺”人才地方认定标准，加大外籍人才引进力度。</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科技部、人力资源社会保障部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4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探索建立国际职业资格证书认可清单制度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不直接涉及公共安全和人民群众生命健康、风险可控的领域，探索建立国际职业资格证书认可清单制度，允许取得境外相应职业资格或公认的国际专业组织认证的国际人才，经能力水平认定或有关部门备案后在试点城市上岗，并加强执业行为监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人力资源社会保障部等国务院相关部门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0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允许内资企业和中国公民开办外籍人员子女学校</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放宽外籍人员子女学校举办者市场准入，允许内资企业和中国公民等开办外籍人员子女学校，为外籍人才在华工作生活提供便利。</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简化港澳投资者商事登记的流程和材料</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采用简化版公证文书（仅保留公司注册证明书、公司商业登记证以及授权代表人签字字样和公司印章样式的董事会或股东会决议等核心信息的文书）办理港澳地区非自然人投资的市场主体注册登记，简化港澳投资者办理商事登记的流程和材料。</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市场监管总局、司法部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6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支持开展国际航行船舶保税加油业务，提升国际航运综合服务能力</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赋予上海市、广州市国际航行船舶保税加油许可权。允许广州市、深圳市保税油供应企业在广东省范围内开展保税油直供业务，进一步增强国际航运综合服务能力，吸引国际航行船舶。</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商务部、财政部、交通运输部、海关总署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5"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七、维护公平竞争秩序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55 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清理设置非必要条件排斥潜在竞争者行为</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清理取消企业在资质资格获取、招投标、政府采购、权益保护等方面存在的差别化待遇，清理通过划分企业等级、增设证明事项、设立项目库、注册、认证、认定等非必要条件排除和限制竞争的行为。</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国家发展改革委、财政部等国务院相关部门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5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推进招投标全流程电子化改革</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推进招投标全流程电子化，加快实施合同签订和变更网上办理。推动电子招投标交易平台与国库支付系统信息共享，实现工程款支付网上查询。</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国家发展改革委、财政部等国务院相关部门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8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探索建立招标计划提前发布制度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对国有资金占控股或主导地位企业依法必须招标的项目，在招标前设置招标计划发布环节，发布时间为招标公告发布之日前至少30日，提高招投标活动透明度。</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优化水利工程招投标手续</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推行水利工程在发布招标公告时同步发售或者下载资格预审文件（或招标文件）。取消水利工程施工招标条件中“监理单位已确定”的条件。</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国家发展改革委、水利部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1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简化对政府采购供应商资格条件的形式审查</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简化对供应商资格条件等的形式审查，不再要求供应商提供相关财务状况、缴纳税收和社会保障资金等证明材料，降低政府采购供应商交易成本。</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八、进一步加强和创新监管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8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60 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在部分领域探索建立完善综合监管机制</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理顺单用途商业预付卡等预付式消费、成品油、农产品等领域监管机制，明确监管责任部门，统一行业监管标准。</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商务部、农业农村部、市场监管总局等国务院相关部门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74"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探索实行惩罚性赔偿和内部举报人制度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探索在食品、药品、疫苗、环保、安全生产等直接涉及公共安全和人民群众生命健康的领域，依法制定惩罚性赔偿和内部举报人制度的具体办法。</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最高人民法院，生态环境部、应急部、市场监管总局、国家药监局等国务院相关部门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0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探索形成市场主体全生命周期监管链</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在市场主体办理注册登记、资质审核、行政许可及接受日常监管、公共服务过程中，及时全面记录市场主体行为及信用信息，在此基础上实现分级分类“信用+智慧”监管，并做到全程可查询、可追溯。</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市场监管总局、国家发展改革委、人民银行等国务院相关部门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4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在部分重点领域建立事前事中事后全流程监管机制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在消防安全、食品药品、环境保护、水土保持、医疗卫生等重点领域，建立完善全链条、全流程监管体系，并探索制定行业信用监管标准化工作规范，提高监管效能。</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国家发展改革委、生态环境部、住房城乡建设部、水利部、国家卫生健康委、应急部、市场监管总局、国家药监局等国务院相关部门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4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探索对重点行业从业人员建立个人信用体系</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探索将医疗、教育、工程建设等重点领域从业人员的执业行为记入个人信用记录，并共享至全国信用信息共享平台。对存在严重不良行为的依法实行行业禁入等惩戒措施。</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国家发展改革委、教育部、住房城乡建设部、国家卫生健康委等国务院相关部门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建立完善互联网医院监管平台</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建立完善互联网医院监管平台，接入互联网医院系统，加强医师线上执业行为监管。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在税务监管领域建立“信用+风险”监管体系</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探索推进动态“信用+风险”税务监控，简化无风险和低风险企业的涉税业务办理流程，提醒预警或直接阻断高风险企业的涉税业务办理，依托大数据分析进一步提高风险管理效能。</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8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优化网络商品抽检机制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向试点城市开放全国网络商品抽检信息，试点城市按照重点抽检属地平台、属地商户的原则，加大对网络商品的抽检力度，定期公示抽检结果，并将属地平台中非本地商户抽检结果推送至商户所在地市场监管部门，商户所在地市场监管部门按有关规定及时予以处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6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实行特种设备作业人员证书电子化管理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制定特种设备作业人员电子证书，在纸质证书样式基础上加载聘用、违规行为等从业信息，实现与纸质证书并行使用。通过数据交换等方式将相关信息汇聚到试点城市市场监管部门平台，加强对从业人员的管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建立不予实施行政强制措施清单</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探索柔性监管新方式，建立不予实施行政强制措施清单，对违法行为情节显著轻微或者没有明显社会危害，采取非强制手段可以达到行政管理目的的，不采取行政强制措施。</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5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在市场监管、税务领域探索建立行政执法人员尽职免责制度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市场监管、税务等领域行政执法人员尽职免责制度，在仅需形式审查的部分监管领域，以及因现有科学技术、监管手段限制未能及时发现问题的，或行政相对人、第三方弄虚作假、刻意隐瞒的部分情形，试行不予追究执法过错责任。</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7"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九、依法保护各类市场主体产权和合法权益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8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71 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探索建立企业合法权益补偿救济机制</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在债务融资、政府采购、招投标、招商引资等领域，针对因政策变化、规划调整而不履行合同约定，造成企业合法利益受损的情形，探索建立补偿救济机制和责任追究制度，维护企业合法权益。</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国家发展改革委、司法部、财政部等国务院相关部门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2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建立健全政务诚信诉讼执行协调机制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政务诚信诉讼执行协调机制，由相关地方人民法院定期将涉及政府部门、事业单位失信被执行人信息定向推送给政务诚信牵头部门。政务诚信牵头部门负责协调推动有关单位执行人民法院判决结果，保障市场主体合法权益。</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最高人民法院，国务院办公厅、国家发展改革委、司法部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畅通知识产权领域信息交换渠道</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试点城市知识产权部门与国家知识产权局在商标侵权判断、专利侵权判定及商标专利法律状态等方面的信息交换渠道。建立商标恶意注册和非正常专利申请的快速处置联动机制。开展商标专利巡回评审和远程评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国家知识产权局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探索建立海外知识产权纠纷应对指导机制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建立对试点城市海外知识产权纠纷应对的指导机制，支持试点城市建立维权协作机构。</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国家知识产权局、国家版权局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强化对专利代理机构的监管</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将省级专利代理机构监管职能委托给市（直辖市市辖区）级执行，优化专利代理监管机制，强化基层监管力量。</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国家知识产权局</w:t>
            </w:r>
          </w:p>
        </w:tc>
      </w:tr>
      <w:tr>
        <w:tblPrEx>
          <w:shd w:val="clear"/>
          <w:tblCellMar>
            <w:top w:w="0" w:type="dxa"/>
            <w:left w:w="0" w:type="dxa"/>
            <w:bottom w:w="0" w:type="dxa"/>
            <w:right w:w="0" w:type="dxa"/>
          </w:tblCellMar>
        </w:tblPrEx>
        <w:trPr>
          <w:trHeight w:val="78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推行人民法院档案电子化管理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对于以电子方式收集或形成的文书材料可直接转为电子档案归档，无需再制作纸质材料形成纸质档案。</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最高人民法院，国家档案局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7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开展司法专递面单电子化改革</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实行司法专递面单电子化，在受送达人签收、拒收或查无此人退回等送达任务完成后，邮政公司将人民法院专递面单进行电子化，通过系统对接后回传给人民法院，原始纸质面单可由邮政公司集中保管，人民法院将电子面单入卷归档，并降低邮寄送达的相关费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最高人民法院，国家邮政局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3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调整小额诉讼程序适用范围及费用</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允许标的额较小、当事人除提出给付金额诉讼请求外同时提出停止侵权、消除影响、赔礼道歉等其他诉讼请求的知识产权纠纷案件，适用小额诉讼程序。允许降低适用小额诉讼程序审理的案件受理费标准。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最高人民法院，国家发展改革委、财政部、国家版权局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5"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十、优化经常性涉企服务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7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79 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便利开展机动车、船舶、知识产权等动产和权利担保融资</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动机动车、船舶、知识产权等担保登记主管部门探索建立以担保人名称为索引的电子数据库，实现对试点城市相关担保品登记状态信息的在线查询、修改和撤销。相关担保信息与人民银行征信中心动产融资统一登记公示系统共享互通，实现各类登记信息的统一查询。</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人民银行、公安部、交通运输部、国家版权局、国家知识产权局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简化水路运输经营相关信息变更办理程序</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探索取消“固定办公场所发生变化”、“主要股东发生变化”备案，市场监管部门在水路运输经营者固定办公场所发生变化、主要股东发生变化后15个工作日内，将系统数据推送给同级交通运输主管部门。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交通运输部、市场监管总局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简化检验检测机构人员信息变更办理程序</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检验检测机构变更法定代表人、最高管理者、技术负责人，由检验检测机构自行修改资质认定系统人员信息，不需再到资质认定部门申请办理。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简化不动产非公证继承手续</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法定继承人或受遗赠人到不动产登记机构进行登记材料查验，有第一顺序继承人的，第二顺序继承人无需到场，无需提交第二顺序继承人材料。登记申请人应承诺提交的申请材料真实有效，因承诺不实给他人造成损失的，承担相应法律责任。</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对办理不动产登记涉及的部分事项试行告知承诺制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申请人因特殊原因确实难以获取死亡证明、亲属关系证明材料的，可以书面承诺代替死亡证明、亲属关系证明，并承诺若有隐瞒实际情况，给他人造成损失的，承担相应法律责任。</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自然资源部、公安部、民政部、国家卫生健康委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探索将遗产管理人制度引入不动产非公证继承登记</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探索研究将遗产管理人制度引入不动产非公证继承登记的查验、申请程序，简化相关流程，提高办理效率。</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最高人民法院，自然资源部</w:t>
            </w:r>
          </w:p>
        </w:tc>
      </w:tr>
      <w:tr>
        <w:tblPrEx>
          <w:shd w:val="clear"/>
          <w:tblCellMar>
            <w:top w:w="0" w:type="dxa"/>
            <w:left w:w="0" w:type="dxa"/>
            <w:bottom w:w="0" w:type="dxa"/>
            <w:right w:w="0" w:type="dxa"/>
          </w:tblCellMar>
        </w:tblPrEx>
        <w:trPr>
          <w:trHeight w:val="80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探索对个人存量房交易开放电子发票功能</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探索对个人存量房交易开放代开增值税电子普通发票功能，允许自然人网上缴税后获取增值税电子普通发票，推动实现全业务流程网上办理。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税务总局、自然资源部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8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实施不动产登记、交易和缴纳税费“一网通办”</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推进全业务类型“互联网+不动产登记”，实施不动产登记、交易和缴纳税费“一窗受理、并行办理”。加快实施网上缴纳税费，推行税费、登记费线上一次收缴、后台自动清分入账（库）。</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自然资源部、财政部、住房城乡建设部、人民银行、税务总局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7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推行办理不动产登记涉及的政务信息共享和核验</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公安部门依托国家人口基础信息库、“互联网+可信身份认证平台”等对外服务系统，向不动产登记机构提供“公安部—人口库—人像比对服务接口”进行全国人口信息核验，并提供户籍人口基本信息；公安、卫生健康、民政等部门提供死亡证明、火化证明、收养登记等信息；公安、民政部门提供涉及人员单位的地名地址等信息；司法行政部门提供委托、继承、亲属关系等涉及不动产登记公证书真伪核验服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自然资源部、公安部、民政部、司法部、国家卫生健康委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1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探索开展不动产登记信息及地籍图可视化查询</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依托互联网拓展不动产登记信息在线可视化检索和查询服务，任何人经身份验证后可在电子地图上依法查询不动产自然状况、权利限制状况、地籍图等信息，更大便利不动产转移登记，提高土地管理质量水平。</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试行有关法律文书及律师身份在线核验服务</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优化律师查询不动产登记信息流程，司法行政部门向不动产登记机构提供律师身份在线核验，人民法院提供律师调查令、立案文书信息在线核验，便利律师查询不动产登记信息。</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最高人民法院，自然资源部、司法部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探索非接触式发放税务UKey</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探索向新办纳税人非接触式发放税务UKey，纳税人可以向税务机关免费申领税务UKey。</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深化“多税合一”申报改革</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探索整合企业所得税和财产行为税综合申报表，尽可能统一不同税种征期，进一步压减纳税人申报和缴税的次数。</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试行全国车船税缴纳信息联网查询与核验</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向试点城市保险机构依法依规开放全国车船税缴纳情况免费查询或核验接口，便于车辆异地办理保险及缴税。</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税务总局、银保监会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5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进一步拓展企业涉税数据开放维度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对试点城市先期提供其他地方税务局的欠税公告信息、非正常户信息和骗取退税、虚开发票等高风险纳税人名单信息，以及税务总局的行政处罚类信息等，后续逐渐扩大信息共享共用范围，进一步提高征管效能。</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4"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对代征税款试行实时电子缴税入库的开具电子完税证明</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允许试点城市在实现代征税款逐笔电子缴税且实时入库的前提下，向纳税人提供电子完税证明。</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0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试行公安服务“一窗通办”</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试行公安服务“一窗通办”，建设涉及治安、户政、交管等公安服务综合窗口，实行“前台综合收件、后台分类审批、统一窗口出件”，推进更多事项实现在线办理。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推行企业办事“一照通办”</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通过政府部门内部数据共享等方式归集或核验企业基本信息，探索实行企业仅凭营业执照即可办理部分高频审批服务事项，无需提交其他材料。</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2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进一步扩大电子证照、电子签章等应用范围</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货物报关、银行贷款、项目申报、招投标、政府采购等业务领域推广在线身份认证、电子证照、电子签章应用，逐步实现在政务服务中互通互认，满足企业、个人在网上办事时对于身份认证、电子证照、加盖电子签章文档的业务需求。鼓励认证机构在认证证书等领域推广使用电子签章。</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国务院办公厅、国家发展改革委、公安部、财政部、人民银行、海关总署、市场监管总局、银保监会等国务院相关部门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简化洗染经营者登记手续</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洗染经营者在市场监管部门注册登记后，无需到商务部门办理备案手续，由市场监管部门直接将相关信息推送给同级商务部门。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商务部、市场监管总局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4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取消企业内部使用的最高计量标准器具的考核发证及强制检定</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企业内部使用的最高计量标准器具调整为企业自主管理，不需计量行政部门考核发证，也不再实行强制检定，但应满足计量溯源性要求。</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1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100 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优化游艇检验制度和流程</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批量建造的游艇型式检验制度，对通过型式检验的新建游艇，由船籍港所在地船舶检验机构根据工厂出具的合格证换发船舶检验证书。优化进口游艇检验流程，对外国船舶检验机构签发的游艇检验证书，可按照程序换发国内检验证书。改革后，加大对游艇可见构件和强度的检查评估和抽查力度，及时整改、消除安全隐患，督促游艇所有人落实游艇日常安全管理、保养和技术维护，确保游艇安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交通运输部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4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101 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优化游艇登记制度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游艇所有人在其签约的游艇俱乐部所在地海事管理机构直接办理游艇登记手续。同时，将船舶国籍证书、中华人民共和国船舶电台执照、海上移动通信业务标识码证书等多份登记证书整合为一份游艇登记证书，实现“一份材料、一次申请、发一本证”，提高游艇登记效率，便利游艇证书管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交通运输部</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1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2021-11-25T08:19:38Z</dcterms:created>
  <dc:creator>CH</dc:creator>
  <cp:lastModifiedBy>CH</cp:lastModifiedBy>
  <dcterms:modified xsi:type="dcterms:W3CDTF">2021-11-25T08:21:58Z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91516F5507FC4C7E8E9D0B74888E17C2</vt:lpwstr>
  </property>
</Properties>
</file>