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31"/>
          <w:szCs w:val="31"/>
          <w:u w:val="none"/>
          <w:bdr w:val="none" w:color="auto" w:sz="0" w:space="0"/>
        </w:rPr>
        <w:t>2020年市级工业企业“一企一技术”研发中心评价结果</w:t>
      </w:r>
    </w:p>
    <w:bookmarkEnd w:id="0"/>
    <w:tbl>
      <w:tblPr>
        <w:tblW w:w="8576" w:type="dxa"/>
        <w:tblInd w:w="9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4985"/>
        <w:gridCol w:w="25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区县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评价结果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张店区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山东齐创石化工程有限公司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淄川区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山东凯盛新材料股份有限公司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淄川区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山东雷帕得汽车技术股份有限公司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淄川区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山东重山光电材料股份有限公司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淄川区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齐鲁云商数字科技股份有限公司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博山区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淄博博一新能源科技发展有限公司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周村区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山东隆之智环保科技有限公司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临淄区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山东爱特云翔信息技术有限公司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临淄区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山东永聚医药科技股份有限公司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临淄区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山东永浩新材料科技有限公司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桓台县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山东泰宝防伪制品有限公司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桓台县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山东华夏神舟新材料有限公司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桓台县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山东海奥斯生物科技股份有限公司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高青县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山东金洋药业有限公司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高青县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南大光电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(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淄博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)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高新区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智洋创新科技股份有限公司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高新区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山东一诺威聚氨酯股份有限公司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高新区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山东亚华电子股份有限公司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高新区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淄博鑫旭电源科技有限公司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经开区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山东盛日奥鹏环保新材料集团股份有限公司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between w:val="single" w:color="auto" w:sz="4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  <w:u w:val="none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spacing w:before="0" w:beforeAutospacing="0" w:after="0" w:after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C3995"/>
    <w:rsid w:val="363C3639"/>
    <w:rsid w:val="4117658A"/>
    <w:rsid w:val="679170C0"/>
    <w:rsid w:val="792F4D31"/>
    <w:rsid w:val="7A8F1388"/>
    <w:rsid w:val="7AC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2023-10-31T02:11:10Z</dcterms:created>
  <dc:creator>Administrator</dc:creator>
  <cp:lastModifiedBy>倔强不屈的伤情</cp:lastModifiedBy>
  <dcterms:modified xsi:type="dcterms:W3CDTF">2023-10-31T02:12:28Z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