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30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30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cs="Times New Roman"/>
          <w:sz w:val="28"/>
        </w:rPr>
      </w:pPr>
    </w:p>
    <w:p>
      <w:pPr>
        <w:tabs>
          <w:tab w:val="left" w:pos="5220"/>
        </w:tabs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济南市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绿色供应链管理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企业</w:t>
      </w:r>
    </w:p>
    <w:p>
      <w:pPr>
        <w:tabs>
          <w:tab w:val="left" w:pos="5220"/>
        </w:tabs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自评价报告</w:t>
      </w:r>
    </w:p>
    <w:p>
      <w:pPr>
        <w:spacing w:line="360" w:lineRule="auto"/>
        <w:rPr>
          <w:rFonts w:hint="default" w:ascii="Times New Roman" w:hAnsi="Times New Roman" w:cs="Times New Roman"/>
          <w:b/>
          <w:sz w:val="5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_GB2312" w:cs="Times New Roman"/>
          <w:b/>
          <w:sz w:val="32"/>
          <w:szCs w:val="32"/>
        </w:rPr>
      </w:pPr>
      <w:bookmarkStart w:id="0" w:name="_GoBack"/>
      <w:bookmarkEnd w:id="0"/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318135</wp:posOffset>
                </wp:positionV>
                <wp:extent cx="2592070" cy="635"/>
                <wp:effectExtent l="0" t="0" r="0" b="0"/>
                <wp:wrapNone/>
                <wp:docPr id="1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207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5" o:spid="_x0000_s1026" o:spt="32" type="#_x0000_t32" style="position:absolute;left:0pt;flip:y;margin-left:143.25pt;margin-top:25.05pt;height:0.05pt;width:204.1pt;z-index:251659264;mso-width-relative:page;mso-height-relative:page;" filled="f" stroked="t" coordsize="21600,21600" o:gfxdata="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HvPJo9gAAAAJAQAADwAAAAAAAAABACAAAAA4AAAAZHJzL2Rvd25y&#10;ZXYueG1sUEsBAhQAFAAAAAgAh07iQFibz3foAQAA9QMAAA4AAAAAAAAAAQAgAAAAPQ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楷体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  申报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企业</w:t>
      </w:r>
      <w:r>
        <w:rPr>
          <w:rFonts w:hint="eastAsia" w:ascii="Times New Roman" w:hAnsi="Times New Roman" w:eastAsia="仿宋" w:cs="Times New Roman"/>
          <w:sz w:val="32"/>
          <w:szCs w:val="32"/>
          <w:u w:val="none"/>
          <w:lang w:val="en-US" w:eastAsia="zh-CN"/>
        </w:rPr>
        <w:t>（盖章）</w:t>
      </w:r>
      <w:r>
        <w:rPr>
          <w:rFonts w:hint="default" w:ascii="Times New Roman" w:hAnsi="Times New Roman" w:eastAsia="仿宋" w:cs="Times New Roman"/>
          <w:sz w:val="32"/>
          <w:szCs w:val="32"/>
        </w:rPr>
        <w:t>：</w:t>
      </w:r>
    </w:p>
    <w:p>
      <w:pPr>
        <w:spacing w:line="360" w:lineRule="auto"/>
        <w:ind w:firstLine="1600" w:firstLineChars="5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ind w:firstLine="1600" w:firstLineChars="5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316230</wp:posOffset>
                </wp:positionV>
                <wp:extent cx="2592070" cy="635"/>
                <wp:effectExtent l="0" t="0" r="0" b="0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207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Connector 6" o:spid="_x0000_s1026" o:spt="32" type="#_x0000_t32" style="position:absolute;left:0pt;flip:y;margin-left:141.75pt;margin-top:24.9pt;height:0.05pt;width:204.1pt;z-index:251660288;mso-width-relative:page;mso-height-relative:page;" filled="f" stroked="t" coordsize="21600,21600" o:gfxdata="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LauaR3XAAAACQEAAA8AAAAAAAAAAQAgAAAAOAAAAGRycy9kb3ducmV2&#10;LnhtbFBLAQIUABQAAAAIAIdO4kCdZuzS5wEAAPUDAAAOAAAAAAAAAAEAIAAAADw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所在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区县</w:t>
      </w:r>
      <w:r>
        <w:rPr>
          <w:rFonts w:hint="default" w:ascii="Times New Roman" w:hAnsi="Times New Roman" w:eastAsia="仿宋" w:cs="Times New Roman"/>
          <w:sz w:val="32"/>
          <w:szCs w:val="32"/>
        </w:rPr>
        <w:t xml:space="preserve">：                         </w:t>
      </w:r>
    </w:p>
    <w:p>
      <w:pPr>
        <w:spacing w:line="360" w:lineRule="auto"/>
        <w:ind w:firstLine="1920" w:firstLineChars="60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ind w:firstLine="0" w:firstLineChars="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024</w:t>
      </w:r>
      <w:r>
        <w:rPr>
          <w:rFonts w:hint="default" w:ascii="Times New Roman" w:hAnsi="Times New Roman" w:eastAsia="仿宋" w:cs="Times New Roman"/>
          <w:sz w:val="32"/>
          <w:szCs w:val="32"/>
        </w:rPr>
        <w:t>年    月    日</w:t>
      </w:r>
    </w:p>
    <w:p>
      <w:pPr>
        <w:spacing w:line="360" w:lineRule="auto"/>
        <w:rPr>
          <w:rFonts w:hint="default" w:ascii="Times New Roman" w:hAnsi="Times New Roman" w:cs="Times New Roman"/>
          <w:b/>
          <w:sz w:val="3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pacing w:line="360" w:lineRule="auto"/>
        <w:jc w:val="both"/>
        <w:rPr>
          <w:rFonts w:hint="default" w:ascii="Times New Roman" w:hAnsi="Times New Roman" w:eastAsia="方正小标宋简体" w:cs="Times New Roman"/>
          <w:sz w:val="30"/>
        </w:rPr>
      </w:pPr>
    </w:p>
    <w:p>
      <w:pPr>
        <w:spacing w:line="360" w:lineRule="auto"/>
        <w:jc w:val="center"/>
        <w:rPr>
          <w:rFonts w:hint="default" w:ascii="Times New Roman" w:hAnsi="Times New Roman" w:eastAsia="黑体" w:cs="Times New Roman"/>
          <w:sz w:val="48"/>
          <w:szCs w:val="48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填 写 说 明</w:t>
      </w:r>
    </w:p>
    <w:p>
      <w:pPr>
        <w:spacing w:line="360" w:lineRule="auto"/>
        <w:rPr>
          <w:rFonts w:hint="default" w:ascii="Times New Roman" w:hAnsi="Times New Roman" w:eastAsia="仿宋_GB2312" w:cs="Times New Roman"/>
          <w:b/>
          <w:sz w:val="30"/>
        </w:rPr>
      </w:pPr>
    </w:p>
    <w:p>
      <w:pPr>
        <w:tabs>
          <w:tab w:val="left" w:pos="1152"/>
        </w:tabs>
        <w:spacing w:line="580" w:lineRule="exac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一、申请企业应当准确、如实填报。</w:t>
      </w:r>
    </w:p>
    <w:p>
      <w:pPr>
        <w:tabs>
          <w:tab w:val="left" w:pos="1152"/>
        </w:tabs>
        <w:spacing w:line="580" w:lineRule="exac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二、所属行业请依据GB/T 4754-2017《国民经济行业分类》填写；单位性质依据营业执照中的类型填写。</w:t>
      </w:r>
    </w:p>
    <w:p>
      <w:pPr>
        <w:tabs>
          <w:tab w:val="left" w:pos="1152"/>
        </w:tabs>
        <w:spacing w:line="580" w:lineRule="exact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</w:rPr>
        <w:t>三、有关项目页面不够时，可加附页。</w:t>
      </w:r>
    </w:p>
    <w:p>
      <w:pPr>
        <w:spacing w:before="156" w:beforeLines="50" w:after="312" w:afterLines="100" w:line="360" w:lineRule="auto"/>
        <w:rPr>
          <w:rFonts w:hint="default" w:ascii="Times New Roman" w:hAnsi="Times New Roman" w:eastAsia="仿宋_GB2312" w:cs="Times New Roman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基本信息表</w:t>
      </w:r>
    </w:p>
    <w:tbl>
      <w:tblPr>
        <w:tblStyle w:val="4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000000" w:sz="8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3117"/>
        <w:gridCol w:w="1240"/>
        <w:gridCol w:w="2336"/>
      </w:tblGrid>
      <w:tr>
        <w:trPr>
          <w:cantSplit/>
          <w:trHeight w:val="567" w:hRule="atLeast"/>
        </w:trPr>
        <w:tc>
          <w:tcPr>
            <w:tcW w:w="1639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6693" w:type="dxa"/>
            <w:gridSpan w:val="3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69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 xml:space="preserve">主要产品  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6693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内资（□国有□集体□民营）□中外合资□港澳台□外商独资</w:t>
            </w:r>
          </w:p>
        </w:tc>
      </w:tr>
      <w:tr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统一社会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信用代码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法定代表人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注册机关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成立日期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有效期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申报工作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联系部门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17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企业简介</w:t>
            </w:r>
          </w:p>
        </w:tc>
        <w:tc>
          <w:tcPr>
            <w:tcW w:w="6693" w:type="dxa"/>
            <w:gridSpan w:val="3"/>
            <w:noWrap w:val="0"/>
            <w:vAlign w:val="top"/>
          </w:tcPr>
          <w:p>
            <w:pPr>
              <w:widowControl/>
              <w:spacing w:before="156" w:beforeLines="50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至少应包括：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企业基本情况、经营状况、上下游供应商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所获荣誉情况等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500字以内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</w:tc>
      </w:tr>
      <w:tr>
        <w:trPr>
          <w:cantSplit/>
          <w:trHeight w:val="1272" w:hRule="atLeast"/>
        </w:trPr>
        <w:tc>
          <w:tcPr>
            <w:tcW w:w="163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绿色供应链创建经验及成效</w:t>
            </w:r>
          </w:p>
        </w:tc>
        <w:tc>
          <w:tcPr>
            <w:tcW w:w="6693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（从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绿色供应链管理战略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实施绿色供应商管理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绿色生产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绿色回收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绿色信息平台建设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</w:rPr>
              <w:t>绿色信息披露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highlight w:val="none"/>
                <w:lang w:val="en-US" w:eastAsia="zh-CN"/>
              </w:rPr>
              <w:t>等方面概述供应链创建的经验和成效，800字以内）</w:t>
            </w:r>
          </w:p>
        </w:tc>
      </w:tr>
      <w:tr>
        <w:trPr>
          <w:cantSplit/>
          <w:trHeight w:val="2400" w:hRule="atLeast"/>
        </w:trPr>
        <w:tc>
          <w:tcPr>
            <w:tcW w:w="833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>材料真实性承诺:</w:t>
            </w: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我单位郑重承诺：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本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企业近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三年未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发生安全（含网络安全、数据安全）、质量、环境污染等事故以及偷漏税等违法违规行为的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未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在国务院及有关部门相关督查工作中被发现存在严重问题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不在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工业节能监察整改名单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且不属于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失信被执行人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  <w:lang w:eastAsia="zh-CN"/>
              </w:rPr>
              <w:t>。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本次申报绿色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highlight w:val="none"/>
                <w:lang w:val="en-US" w:eastAsia="zh-CN"/>
              </w:rPr>
              <w:t>供应链管理企业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highlight w:val="none"/>
              </w:rPr>
              <w:t>所提交的相关数据和信息均真实、有效，愿接受并积极配合主管部门的监督抽查和核验。如有违反，愿承担由此产生的相应责任。</w:t>
            </w: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ind w:firstLine="496" w:firstLineChars="207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</w:rPr>
              <w:t xml:space="preserve">法人或单位负责人签字：          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  <w:lang w:val="en-US" w:eastAsia="zh-CN"/>
              </w:rPr>
              <w:t xml:space="preserve">                                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  <w:lang w:eastAsia="zh-CN"/>
              </w:rPr>
              <w:t>公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</w:rPr>
              <w:t>章）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  <w:lang w:val="en-US" w:eastAsia="zh-CN"/>
              </w:rPr>
              <w:t xml:space="preserve">                                           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  <w:highlight w:val="none"/>
              </w:rPr>
              <w:t>日期：</w:t>
            </w:r>
            <w:r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highlight w:val="none"/>
              </w:rPr>
              <w:t xml:space="preserve">          </w:t>
            </w: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 xml:space="preserve"> </w:t>
            </w:r>
          </w:p>
          <w:p>
            <w:pPr>
              <w:widowControl/>
              <w:jc w:val="right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4"/>
              </w:rPr>
              <w:t xml:space="preserve">         </w:t>
            </w:r>
          </w:p>
        </w:tc>
      </w:tr>
    </w:tbl>
    <w:p>
      <w:pPr>
        <w:numPr>
          <w:ilvl w:val="0"/>
          <w:numId w:val="1"/>
        </w:numPr>
        <w:spacing w:before="0" w:beforeLines="0" w:after="0" w:afterLines="0" w:line="360" w:lineRule="auto"/>
        <w:ind w:firstLine="640" w:firstLineChars="200"/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企业基本情况</w:t>
      </w:r>
    </w:p>
    <w:p>
      <w:pPr>
        <w:pStyle w:val="7"/>
        <w:ind w:firstLine="640"/>
        <w:outlineLvl w:val="9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概述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的基本信息、发展现状、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主要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产品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生产经营状况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供应商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以及在绿色发展方面开展的重点工作及取得的成绩等。</w:t>
      </w:r>
    </w:p>
    <w:p>
      <w:pPr>
        <w:numPr>
          <w:ilvl w:val="0"/>
          <w:numId w:val="1"/>
        </w:numPr>
        <w:spacing w:before="0" w:beforeLines="0" w:after="0" w:afterLines="0" w:line="360" w:lineRule="auto"/>
        <w:ind w:firstLine="640" w:firstLineChars="200"/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绿色供应链创建情况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对照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《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绿色工厂梯度培育及管理暂行办法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》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中所列否决条件情况，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《绿色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供应链管理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评价要求》（电子电器、机械、汽车行业应根据“绿色供应链管理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评价标准清单”的评价指标体系）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中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基本要求的符合性以及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绿色供应链管理战略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实施绿色供应商管理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绿色生产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绿色回收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绿色信息平台建设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绿色信息披露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等内容进行情况描述。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绿色工厂梯度培育及管理暂行办法》条件情况。主要描述企业是否存在所列否决条件情况。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基本要求的符合性。主要描述附表1.1中各项要求的符合情况。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.绿色供应链管理战略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情况。主要描述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企业在绿色供应链管理战略方面开展的工作做法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，以及相关标准落实情况。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.绿色供应商管理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情况。主要描述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企业绿色供应商管理方面开展的工作做法，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以及相关标准落实情况。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.绿色生产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情况。主要描述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企业绿色生产方面开展工作做法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以及相关标准落实情况。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.绿色回收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情况。主要描述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企业在绿色回收方面开展的工作做法，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以及相关标准落实情况。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.绿色信息平台建设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情况。主要描述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绿色信息平台建设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方面开展的工作做法，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以及相关标准的落实情况。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.绿色信息披露情况。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主要描述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绿色信息披露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方面开展的工作做法，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以及相关标准的落实情况。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9.开展“碳足迹核算”情况（加分项）。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主要描述企业在“碳足迹核算”方面开展的工作做法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黑体" w:cs="Times New Roman"/>
          <w:bCs/>
          <w:color w:val="000000"/>
          <w:kern w:val="2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 w:val="0"/>
          <w:bCs/>
          <w:sz w:val="32"/>
          <w:szCs w:val="32"/>
          <w:highlight w:val="none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  <w:lang w:val="en-US" w:eastAsia="zh-CN"/>
        </w:rPr>
        <w:t>自评价结果</w:t>
      </w:r>
    </w:p>
    <w:tbl>
      <w:tblPr>
        <w:tblStyle w:val="4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2780"/>
        <w:gridCol w:w="3896"/>
      </w:tblGrid>
      <w:tr>
        <w:trPr>
          <w:trHeight w:val="599" w:hRule="atLeast"/>
        </w:trPr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基本要求</w:t>
            </w:r>
          </w:p>
        </w:tc>
        <w:tc>
          <w:tcPr>
            <w:tcW w:w="667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□符合  □不符合</w:t>
            </w:r>
          </w:p>
        </w:tc>
      </w:tr>
      <w:tr>
        <w:trPr>
          <w:trHeight w:val="567" w:hRule="atLeast"/>
        </w:trPr>
        <w:tc>
          <w:tcPr>
            <w:tcW w:w="22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一级指标得分情况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绿色供应链管理战略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rPr>
          <w:trHeight w:val="567" w:hRule="atLeast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绿色供应商管理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rPr>
          <w:trHeight w:val="567" w:hRule="atLeast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绿色生产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rPr>
          <w:trHeight w:val="567" w:hRule="atLeast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绿色回收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rPr>
          <w:trHeight w:val="567" w:hRule="atLeast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绿色信息平台建设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rPr>
          <w:trHeight w:val="567" w:hRule="atLeast"/>
        </w:trPr>
        <w:tc>
          <w:tcPr>
            <w:tcW w:w="22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绿色信息披露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rPr>
          <w:trHeight w:val="567" w:hRule="atLeast"/>
        </w:trPr>
        <w:tc>
          <w:tcPr>
            <w:tcW w:w="222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加分项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“碳足迹核算”情况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rPr>
          <w:trHeight w:val="567" w:hRule="atLeast"/>
        </w:trPr>
        <w:tc>
          <w:tcPr>
            <w:tcW w:w="50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2"/>
                <w:sz w:val="28"/>
                <w:szCs w:val="28"/>
                <w:highlight w:val="none"/>
                <w:lang w:val="en-US" w:eastAsia="zh-CN"/>
              </w:rPr>
              <w:t>上一年度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highlight w:val="none"/>
                <w:lang w:val="en-US" w:eastAsia="zh-CN"/>
              </w:rPr>
              <w:t>总得分</w:t>
            </w:r>
          </w:p>
        </w:tc>
        <w:tc>
          <w:tcPr>
            <w:tcW w:w="389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下一步工作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说明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企业未来发展目标，持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续推进绿色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供应链管理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方面拟开展的重点工作，拟实施的重大项目情况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等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1.绿色供应链管理未来目标。主要描述各项绩效指标在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一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年后（202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年)的预期目标。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2.绿色供应链管理企业创建重点工作。主要描述企业在202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-202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年为持续提升绿色供应链管理水平开展的重点工作任务情况。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3.减碳工作。主要描述企业在减少供应链碳排放方面的工作计划和减排目标。</w:t>
      </w:r>
    </w:p>
    <w:p>
      <w:pPr>
        <w:pStyle w:val="7"/>
        <w:numPr>
          <w:ilvl w:val="0"/>
          <w:numId w:val="0"/>
        </w:numPr>
        <w:spacing w:before="0" w:beforeLines="0" w:after="0" w:afterLines="0" w:line="360" w:lineRule="auto"/>
        <w:ind w:firstLine="640" w:firstLineChars="200"/>
        <w:outlineLvl w:val="9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4.重点项目情况。填写202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-202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年企业拟建设的绿色供应链相关重点项目汇总表，测算项目节能、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节水、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节材、减排、降碳和资源综合利用绩效。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表xx 绿色供应链相关重点项目汇总表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580"/>
        <w:gridCol w:w="1828"/>
        <w:gridCol w:w="1420"/>
        <w:gridCol w:w="1420"/>
        <w:gridCol w:w="1420"/>
      </w:tblGrid>
      <w:t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项目内容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项目建设期限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项目投资估算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  <w:t>项目效益分析</w:t>
            </w:r>
          </w:p>
        </w:tc>
      </w:tr>
      <w:t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before="0" w:beforeLines="0" w:after="0" w:afterLines="0" w:line="360" w:lineRule="auto"/>
        <w:ind w:firstLine="640" w:firstLineChars="200"/>
        <w:rPr>
          <w:rFonts w:hint="default" w:ascii="Times New Roman" w:hAnsi="Times New Roman" w:eastAsia="仿宋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绿色</w:t>
      </w: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供应链管理企业</w:t>
      </w: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创建自评表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依据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情况和《绿色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供应链管理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评价要求》进行自评，并填写附表1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.1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和附表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color w:val="000000"/>
          <w:kern w:val="0"/>
          <w:sz w:val="32"/>
          <w:szCs w:val="32"/>
          <w:highlight w:val="none"/>
        </w:rPr>
        <w:t>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highlight w:val="none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bCs/>
          <w:sz w:val="32"/>
          <w:szCs w:val="32"/>
          <w:highlight w:val="none"/>
        </w:rPr>
        <w:t>相关证明材料</w:t>
      </w:r>
    </w:p>
    <w:p>
      <w:pPr>
        <w:spacing w:before="0" w:beforeLines="0" w:after="0" w:afterLines="0" w:line="360" w:lineRule="auto"/>
        <w:ind w:firstLine="640" w:firstLineChars="200"/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与基本要求和指标测算相关的证明材料。</w:t>
      </w:r>
    </w:p>
    <w:p>
      <w:pPr>
        <w:spacing w:before="0" w:beforeLines="0" w:after="0" w:afterLines="0" w:line="360" w:lineRule="auto"/>
        <w:ind w:firstLine="640" w:firstLineChars="200"/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bCs w:val="0"/>
          <w:color w:val="000000"/>
          <w:kern w:val="0"/>
          <w:sz w:val="32"/>
          <w:szCs w:val="32"/>
          <w:highlight w:val="none"/>
          <w:lang w:val="en-US" w:eastAsia="zh-CN"/>
        </w:rPr>
        <w:br w:type="page"/>
      </w:r>
      <w:r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  <w:t>附表1.1</w:t>
      </w:r>
    </w:p>
    <w:p>
      <w:pPr>
        <w:spacing w:before="0" w:beforeLines="0" w:after="0" w:afterLines="0" w:line="360" w:lineRule="auto"/>
        <w:ind w:firstLine="600" w:firstLineChars="200"/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</w:pPr>
    </w:p>
    <w:p>
      <w:pPr>
        <w:widowControl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b w:val="0"/>
          <w:bCs/>
          <w:sz w:val="36"/>
          <w:szCs w:val="36"/>
          <w:lang w:val="en-US" w:eastAsia="zh-CN"/>
        </w:rPr>
        <w:t>绿色</w:t>
      </w:r>
      <w:r>
        <w:rPr>
          <w:rFonts w:hint="eastAsia" w:ascii="Times New Roman" w:hAnsi="Times New Roman" w:eastAsia="黑体" w:cs="Times New Roman"/>
          <w:bCs/>
          <w:sz w:val="36"/>
          <w:szCs w:val="32"/>
          <w:lang w:val="en-US" w:eastAsia="zh-CN"/>
        </w:rPr>
        <w:t>供应链管理企业</w:t>
      </w:r>
      <w:r>
        <w:rPr>
          <w:rFonts w:hint="default" w:ascii="Times New Roman" w:hAnsi="Times New Roman" w:eastAsia="黑体" w:cs="Times New Roman"/>
          <w:bCs/>
          <w:sz w:val="36"/>
          <w:szCs w:val="32"/>
        </w:rPr>
        <w:t>基本要求自评表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0"/>
        <w:gridCol w:w="1417"/>
        <w:gridCol w:w="2035"/>
      </w:tblGrid>
      <w:tr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基本要求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是否符合</w:t>
            </w: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kern w:val="0"/>
                <w:sz w:val="28"/>
                <w:szCs w:val="28"/>
              </w:rPr>
              <w:t>证明材料索引</w:t>
            </w:r>
          </w:p>
        </w:tc>
      </w:tr>
      <w:tr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widowControl/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具有独立法人资格。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widowControl/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具有较强的行业影响力。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widowControl/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具有较完善的能源资源、环境管理体系，各项管理制度健全，符合国家和地方的法律法规及标准规范要求，近三年无重大安全和环境污染事故。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widowControl/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拥有数量众多的供应商，在供应商中有很强的影响力，与上下游供应商建立良好的合作关系。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widowControl/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有完善的供应商管理体系，建立健全的供应商认证、选择、审核、绩效管理和退出机制。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有健全的财务管理制度，销售盈利能力处于行业领先水平。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  <w:tr>
        <w:trPr>
          <w:trHeight w:val="429" w:hRule="atLeast"/>
        </w:trPr>
        <w:tc>
          <w:tcPr>
            <w:tcW w:w="5070" w:type="dxa"/>
            <w:noWrap w:val="0"/>
            <w:vAlign w:val="center"/>
          </w:tcPr>
          <w:p>
            <w:pPr>
              <w:widowControl/>
              <w:adjustRightInd w:val="0"/>
              <w:snapToGrid/>
              <w:spacing w:line="360" w:lineRule="auto"/>
              <w:jc w:val="left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对实施绿色供应链管理有明确的工作目标、思路、计划和措施。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  <w:tc>
          <w:tcPr>
            <w:tcW w:w="203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Times New Roman" w:hAnsi="Times New Roman" w:eastAsia="仿宋" w:cs="Times New Roman"/>
                <w:b w:val="0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0"/>
          <w:szCs w:val="30"/>
          <w:lang w:val="en-US" w:eastAsia="zh-CN"/>
        </w:rPr>
        <w:t>附表1.2</w:t>
      </w:r>
    </w:p>
    <w:p>
      <w:pPr>
        <w:widowControl/>
        <w:jc w:val="center"/>
        <w:rPr>
          <w:rFonts w:hint="default" w:ascii="Times New Roman" w:hAnsi="Times New Roman" w:eastAsia="黑体" w:cs="Times New Roman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绿色供应链管理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eastAsia="zh-CN"/>
        </w:rPr>
        <w:t>企业</w:t>
      </w:r>
      <w:r>
        <w:rPr>
          <w:rFonts w:hint="default" w:ascii="Times New Roman" w:hAnsi="Times New Roman" w:eastAsia="黑体" w:cs="Times New Roman"/>
          <w:bCs/>
          <w:sz w:val="32"/>
          <w:szCs w:val="32"/>
        </w:rPr>
        <w:t>评价指标体系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仿宋_GB2312" w:cs="Times New Roman"/>
          <w:b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b/>
          <w:kern w:val="0"/>
          <w:sz w:val="30"/>
          <w:szCs w:val="30"/>
        </w:rPr>
        <w:t>（20  年）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28"/>
        <w:gridCol w:w="3601"/>
        <w:gridCol w:w="840"/>
        <w:gridCol w:w="840"/>
        <w:gridCol w:w="1038"/>
      </w:tblGrid>
      <w:tr>
        <w:trPr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一级指标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序号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二级指标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最高分值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  <w:t>得分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证明材料索引</w:t>
            </w:r>
          </w:p>
        </w:tc>
      </w:tr>
      <w:tr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绿色供应链管理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战略X1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纳入公司发展规划X11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8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制定绿色供应链管理目标X12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设置专门管理机构X13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实施绿色供应商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管理X2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绿色采购标准制度完善X21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供应商认证体系完善X22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对供应商定期审核X23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7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供应商绩效评估制度健全X24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8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定期对供应商进行培训X25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9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低风险供应商占比X26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绿色生产X3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节能减排环保合规X31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rPr>
          <w:trHeight w:val="952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11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符合有害物质限制使用管理办法X32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绿色回收X4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12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产品回收率X41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13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包装回收率X42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rPr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14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回收体系完善（含自建、与第三方联合回收）X43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rPr>
          <w:trHeight w:val="574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15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指导下游企业回收拆解X44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rPr>
          <w:trHeight w:val="90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绿色信息平台建设X5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16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绿色供应链管理信息平台完善X51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10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rPr>
          <w:trHeight w:val="906" w:hRule="atLeast"/>
          <w:jc w:val="center"/>
        </w:trPr>
        <w:tc>
          <w:tcPr>
            <w:tcW w:w="11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绿色信息披露X6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17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披露企业节能减排减碳信息X61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rPr>
          <w:trHeight w:val="762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18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披露高、中风险供应商审核率及低风险供应商占比X62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19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披露供应商节能减排信息X63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11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20</w:t>
            </w:r>
          </w:p>
        </w:tc>
        <w:tc>
          <w:tcPr>
            <w:tcW w:w="3601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发布企业社会责任报告（含绿色采购信息）X64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2.5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rPr>
          <w:trHeight w:val="623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加分项</w:t>
            </w:r>
          </w:p>
        </w:tc>
        <w:tc>
          <w:tcPr>
            <w:tcW w:w="432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“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碳足迹核算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”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情况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0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</w:tbl>
    <w:p>
      <w:pPr>
        <w:ind w:firstLine="602" w:firstLineChars="200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sz w:val="30"/>
          <w:szCs w:val="30"/>
        </w:rPr>
        <w:t>说明：</w:t>
      </w:r>
      <w:r>
        <w:rPr>
          <w:rFonts w:hint="default" w:ascii="Times New Roman" w:hAnsi="Times New Roman" w:eastAsia="仿宋" w:cs="Times New Roman"/>
          <w:sz w:val="30"/>
          <w:szCs w:val="30"/>
        </w:rPr>
        <w:t>为便于绿色供应链管理评价，现对《绿色供应链管理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企业</w:t>
      </w:r>
      <w:r>
        <w:rPr>
          <w:rFonts w:hint="default" w:ascii="Times New Roman" w:hAnsi="Times New Roman" w:eastAsia="仿宋" w:cs="Times New Roman"/>
          <w:sz w:val="30"/>
          <w:szCs w:val="30"/>
        </w:rPr>
        <w:t>评价要求》（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《</w:t>
      </w:r>
      <w:r>
        <w:rPr>
          <w:rFonts w:hint="eastAsia" w:ascii="Times New Roman" w:hAnsi="Times New Roman" w:eastAsia="仿宋" w:cs="Times New Roman"/>
          <w:sz w:val="30"/>
          <w:szCs w:val="30"/>
          <w:lang w:val="en-US" w:eastAsia="zh-CN"/>
        </w:rPr>
        <w:t>绿色工厂梯度培育及管理暂行办法</w:t>
      </w:r>
      <w:r>
        <w:rPr>
          <w:rFonts w:hint="eastAsia" w:ascii="Times New Roman" w:hAnsi="Times New Roman" w:eastAsia="仿宋" w:cs="Times New Roman"/>
          <w:sz w:val="30"/>
          <w:szCs w:val="30"/>
          <w:lang w:eastAsia="zh-CN"/>
        </w:rPr>
        <w:t>》</w:t>
      </w:r>
      <w:r>
        <w:rPr>
          <w:rFonts w:hint="default" w:ascii="Times New Roman" w:hAnsi="Times New Roman" w:eastAsia="仿宋" w:cs="Times New Roman"/>
          <w:sz w:val="30"/>
          <w:szCs w:val="30"/>
        </w:rPr>
        <w:t xml:space="preserve"> 附件3）中的绿色供应链管理指数公式进行简化，具体计算公式简化为：</w:t>
      </w:r>
    </w:p>
    <w:p>
      <w:pPr>
        <w:tabs>
          <w:tab w:val="center" w:pos="4153"/>
        </w:tabs>
        <w:jc w:val="left"/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m:oMathPara>
        <m:oMath>
          <m:r>
            <m:rPr>
              <m:sty m:val="p"/>
            </m:rPr>
            <w:rPr>
              <w:rFonts w:hint="eastAsia" w:ascii="DejaVu Math TeX Gyre" w:hAnsi="DejaVu Math TeX Gyre" w:eastAsia="仿宋_GB2312" w:cs="Times New Roman"/>
              <w:kern w:val="2"/>
              <w:position w:val="-30"/>
              <w:sz w:val="28"/>
              <w:szCs w:val="28"/>
              <w:lang w:val="en-US" w:eastAsia="zh-CN" w:bidi="ar-SA"/>
            </w:rPr>
            <m:t>GSCI</m:t>
          </m:r>
          <m:r>
            <m:rPr>
              <m:sty m:val="p"/>
            </m:rPr>
            <w:rPr>
              <w:rFonts w:hint="default" w:ascii="DejaVu Math TeX Gyre" w:hAnsi="DejaVu Math TeX Gyre" w:eastAsia="仿宋_GB2312" w:cs="Times New Roman"/>
              <w:kern w:val="2"/>
              <w:position w:val="-30"/>
              <w:sz w:val="28"/>
              <w:szCs w:val="28"/>
              <w:lang w:val="en-US" w:eastAsia="zh-CN" w:bidi="ar-SA"/>
            </w:rPr>
            <m:t>=</m:t>
          </m:r>
          <m:sSub>
            <m:sSubP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SubPr>
            <m:e>
              <m:r>
                <m:rPr>
                  <m:sty m:val="p"/>
                </m:rPr>
                <w:rPr>
                  <w:rFonts w:hint="eastAsia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X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e>
            <m:sub>
              <m:r>
                <m:rPr>
                  <m:sty m:val="p"/>
                </m:r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11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ub>
          </m:sSub>
          <m:r>
            <m:rPr>
              <m:sty m:val="p"/>
            </m:rPr>
            <w:rPr>
              <w:rFonts w:hint="default" w:ascii="DejaVu Math TeX Gyre" w:hAnsi="DejaVu Math TeX Gyre" w:eastAsia="仿宋_GB2312" w:cs="Times New Roman"/>
              <w:kern w:val="2"/>
              <w:position w:val="-30"/>
              <w:sz w:val="28"/>
              <w:szCs w:val="28"/>
              <w:lang w:val="en-US" w:eastAsia="zh-CN" w:bidi="ar-SA"/>
            </w:rPr>
            <m:t>+</m:t>
          </m:r>
          <m:sSub>
            <m:sSubP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SubPr>
            <m:e>
              <m:r>
                <m:rPr>
                  <m:sty m:val="p"/>
                </m:rPr>
                <w:rPr>
                  <w:rFonts w:hint="eastAsia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X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e>
            <m:sub>
              <m:r>
                <m:rPr>
                  <m:sty m:val="p"/>
                </m:r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12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ub>
          </m:sSub>
          <m:r>
            <m:rPr>
              <m:sty m:val="p"/>
            </m:rPr>
            <w:rPr>
              <w:rFonts w:hint="default" w:ascii="DejaVu Math TeX Gyre" w:hAnsi="DejaVu Math TeX Gyre" w:eastAsia="仿宋_GB2312" w:cs="Times New Roman"/>
              <w:kern w:val="2"/>
              <w:position w:val="-30"/>
              <w:sz w:val="28"/>
              <w:szCs w:val="28"/>
              <w:lang w:val="en-US" w:eastAsia="zh-CN" w:bidi="ar-SA"/>
            </w:rPr>
            <m:t>+</m:t>
          </m:r>
          <m:sSub>
            <m:sSubP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SubPr>
            <m:e>
              <m:r>
                <m:rPr>
                  <m:sty m:val="p"/>
                </m:rPr>
                <w:rPr>
                  <w:rFonts w:hint="eastAsia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X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e>
            <m:sub>
              <m:r>
                <m:rPr>
                  <m:sty m:val="p"/>
                </m:r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13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ub>
          </m:sSub>
          <m:r>
            <m:rPr>
              <m:sty m:val="p"/>
            </m:rPr>
            <w:rPr>
              <w:rFonts w:hint="default" w:ascii="DejaVu Math TeX Gyre" w:hAnsi="DejaVu Math TeX Gyre" w:eastAsia="仿宋_GB2312" w:cs="Times New Roman"/>
              <w:kern w:val="2"/>
              <w:position w:val="-30"/>
              <w:sz w:val="28"/>
              <w:szCs w:val="28"/>
              <w:lang w:val="en-US" w:eastAsia="zh-CN" w:bidi="ar-SA"/>
            </w:rPr>
            <m:t>+</m:t>
          </m:r>
          <m:sSub>
            <m:sSubP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SubPr>
            <m:e>
              <m:r>
                <m:rPr>
                  <m:sty m:val="p"/>
                </m:rPr>
                <w:rPr>
                  <w:rFonts w:hint="eastAsia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X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e>
            <m:sub>
              <m:r>
                <m:rPr>
                  <m:sty m:val="p"/>
                </m:r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21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ub>
          </m:sSub>
          <m:r>
            <m:rPr>
              <m:sty m:val="p"/>
            </m:rPr>
            <w:rPr>
              <w:rFonts w:hint="default" w:ascii="DejaVu Math TeX Gyre" w:hAnsi="DejaVu Math TeX Gyre" w:eastAsia="仿宋_GB2312" w:cs="Times New Roman"/>
              <w:kern w:val="2"/>
              <w:position w:val="-30"/>
              <w:sz w:val="28"/>
              <w:szCs w:val="28"/>
              <w:lang w:val="en-US" w:eastAsia="zh-CN" w:bidi="ar-SA"/>
            </w:rPr>
            <m:t>+</m:t>
          </m:r>
          <m:sSub>
            <m:sSubP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SubPr>
            <m:e>
              <m:r>
                <m:rPr>
                  <m:sty m:val="p"/>
                </m:rPr>
                <w:rPr>
                  <w:rFonts w:hint="eastAsia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X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e>
            <m:sub>
              <m:r>
                <m:rPr>
                  <m:sty m:val="p"/>
                </m:r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22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ub>
          </m:sSub>
          <m:r>
            <m:rPr>
              <m:sty m:val="p"/>
            </m:rPr>
            <w:rPr>
              <w:rFonts w:hint="default" w:ascii="DejaVu Math TeX Gyre" w:hAnsi="DejaVu Math TeX Gyre" w:eastAsia="仿宋_GB2312" w:cs="Times New Roman"/>
              <w:kern w:val="2"/>
              <w:position w:val="-30"/>
              <w:sz w:val="28"/>
              <w:szCs w:val="28"/>
              <w:lang w:val="en-US" w:eastAsia="zh-CN" w:bidi="ar-SA"/>
            </w:rPr>
            <m:t>+</m:t>
          </m:r>
          <m:sSub>
            <m:sSubP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SubPr>
            <m:e>
              <m:r>
                <m:rPr>
                  <m:sty m:val="p"/>
                </m:rPr>
                <w:rPr>
                  <w:rFonts w:hint="eastAsia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X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e>
            <m:sub>
              <m:r>
                <m:rPr>
                  <m:sty m:val="p"/>
                </m:r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23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ub>
          </m:sSub>
          <m:r>
            <m:rPr>
              <m:sty m:val="p"/>
            </m:rPr>
            <w:rPr>
              <w:rFonts w:hint="default" w:ascii="DejaVu Math TeX Gyre" w:hAnsi="DejaVu Math TeX Gyre" w:eastAsia="仿宋_GB2312" w:cs="Times New Roman"/>
              <w:kern w:val="2"/>
              <w:position w:val="-30"/>
              <w:sz w:val="28"/>
              <w:szCs w:val="28"/>
              <w:lang w:val="en-US" w:eastAsia="zh-CN" w:bidi="ar-SA"/>
            </w:rPr>
            <m:t>+</m:t>
          </m:r>
          <m:sSub>
            <m:sSubP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SubPr>
            <m:e>
              <m:r>
                <m:rPr>
                  <m:sty m:val="p"/>
                </m:rPr>
                <w:rPr>
                  <w:rFonts w:hint="eastAsia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X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e>
            <m:sub>
              <m:r>
                <m:rPr>
                  <m:sty m:val="p"/>
                </m:r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24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ub>
          </m:sSub>
          <m:r>
            <m:rPr>
              <m:sty m:val="p"/>
            </m:rPr>
            <w:rPr>
              <w:rFonts w:hint="default" w:ascii="DejaVu Math TeX Gyre" w:hAnsi="DejaVu Math TeX Gyre" w:eastAsia="仿宋_GB2312" w:cs="Times New Roman"/>
              <w:kern w:val="2"/>
              <w:position w:val="-30"/>
              <w:sz w:val="28"/>
              <w:szCs w:val="28"/>
              <w:lang w:val="en-US" w:eastAsia="zh-CN" w:bidi="ar-SA"/>
            </w:rPr>
            <m:t>+</m:t>
          </m:r>
          <m:sSub>
            <m:sSubP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SubPr>
            <m:e>
              <m:r>
                <m:rPr>
                  <m:sty m:val="p"/>
                </m:rPr>
                <w:rPr>
                  <w:rFonts w:hint="eastAsia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X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e>
            <m:sub>
              <m:r>
                <m:rPr>
                  <m:sty m:val="p"/>
                </m:r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25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ub>
          </m:sSub>
          <m:r>
            <m:rPr>
              <m:sty m:val="p"/>
            </m:rPr>
            <w:rPr>
              <w:rFonts w:hint="default" w:ascii="DejaVu Math TeX Gyre" w:hAnsi="DejaVu Math TeX Gyre" w:eastAsia="仿宋_GB2312" w:cs="Times New Roman"/>
              <w:kern w:val="2"/>
              <w:position w:val="-30"/>
              <w:sz w:val="28"/>
              <w:szCs w:val="28"/>
              <w:lang w:val="en-US" w:eastAsia="zh-CN" w:bidi="ar-SA"/>
            </w:rPr>
            <m:t>+</m:t>
          </m:r>
          <m:sSub>
            <m:sSubP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SubPr>
            <m:e>
              <m:r>
                <m:rPr>
                  <m:sty m:val="p"/>
                </m:rPr>
                <w:rPr>
                  <w:rFonts w:hint="eastAsia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X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e>
            <m:sub>
              <m:r>
                <m:rPr>
                  <m:sty m:val="p"/>
                </m:r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26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ub>
          </m:sSub>
          <m:r>
            <m:rPr>
              <m:sty m:val="p"/>
            </m:rPr>
            <w:rPr>
              <w:rFonts w:hint="default" w:ascii="DejaVu Math TeX Gyre" w:hAnsi="DejaVu Math TeX Gyre" w:eastAsia="仿宋_GB2312" w:cs="Times New Roman"/>
              <w:kern w:val="2"/>
              <w:position w:val="-30"/>
              <w:sz w:val="28"/>
              <w:szCs w:val="28"/>
              <w:lang w:val="en-US" w:eastAsia="zh-CN" w:bidi="ar-SA"/>
            </w:rPr>
            <m:t>+</m:t>
          </m:r>
          <m:sSub>
            <m:sSubP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SubPr>
            <m:e>
              <m:r>
                <m:rPr>
                  <m:sty m:val="p"/>
                </m:rPr>
                <w:rPr>
                  <w:rFonts w:hint="eastAsia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X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e>
            <m:sub>
              <m:r>
                <m:rPr>
                  <m:sty m:val="p"/>
                </m:r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31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ub>
          </m:sSub>
          <m:r>
            <m:rPr>
              <m:sty m:val="p"/>
            </m:rPr>
            <w:rPr>
              <w:rFonts w:hint="default" w:ascii="DejaVu Math TeX Gyre" w:hAnsi="DejaVu Math TeX Gyre" w:eastAsia="仿宋_GB2312" w:cs="Times New Roman"/>
              <w:kern w:val="2"/>
              <w:position w:val="-30"/>
              <w:sz w:val="28"/>
              <w:szCs w:val="28"/>
              <w:lang w:val="en-US" w:eastAsia="zh-CN" w:bidi="ar-SA"/>
            </w:rPr>
            <m:t>+</m:t>
          </m:r>
          <m:sSub>
            <m:sSubP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SubPr>
            <m:e>
              <m:r>
                <m:rPr>
                  <m:sty m:val="p"/>
                </m:rPr>
                <w:rPr>
                  <w:rFonts w:hint="eastAsia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X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e>
            <m:sub>
              <m:r>
                <m:rPr>
                  <m:sty m:val="p"/>
                </m:r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32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ub>
          </m:sSub>
          <m:r>
            <m:rPr>
              <m:sty m:val="p"/>
            </m:rPr>
            <w:rPr>
              <w:rFonts w:hint="default" w:ascii="DejaVu Math TeX Gyre" w:hAnsi="DejaVu Math TeX Gyre" w:eastAsia="仿宋_GB2312" w:cs="Times New Roman"/>
              <w:kern w:val="2"/>
              <w:position w:val="-30"/>
              <w:sz w:val="28"/>
              <w:szCs w:val="28"/>
              <w:lang w:val="en-US" w:eastAsia="zh-CN" w:bidi="ar-SA"/>
            </w:rPr>
            <m:t>+</m:t>
          </m:r>
          <m:sSub>
            <m:sSubP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SubPr>
            <m:e>
              <m:r>
                <m:rPr>
                  <m:sty m:val="p"/>
                </m:rPr>
                <w:rPr>
                  <w:rFonts w:hint="eastAsia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X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e>
            <m:sub>
              <m:r>
                <m:rPr>
                  <m:sty m:val="p"/>
                </m:r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41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ub>
          </m:sSub>
          <m:r>
            <m:rPr>
              <m:sty m:val="p"/>
            </m:rPr>
            <w:rPr>
              <w:rFonts w:hint="default" w:ascii="DejaVu Math TeX Gyre" w:hAnsi="DejaVu Math TeX Gyre" w:eastAsia="仿宋_GB2312" w:cs="Times New Roman"/>
              <w:kern w:val="2"/>
              <w:position w:val="-30"/>
              <w:sz w:val="28"/>
              <w:szCs w:val="28"/>
              <w:lang w:val="en-US" w:eastAsia="zh-CN" w:bidi="ar-SA"/>
            </w:rPr>
            <m:t>+</m:t>
          </m:r>
          <m:sSub>
            <m:sSubP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SubPr>
            <m:e>
              <m:r>
                <m:rPr>
                  <m:sty m:val="p"/>
                </m:rPr>
                <w:rPr>
                  <w:rFonts w:hint="eastAsia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X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e>
            <m:sub>
              <m:r>
                <m:rPr>
                  <m:sty m:val="p"/>
                </m:r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42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ub>
          </m:sSub>
          <m:r>
            <m:rPr>
              <m:sty m:val="p"/>
            </m:rPr>
            <w:rPr>
              <w:rFonts w:hint="default" w:ascii="DejaVu Math TeX Gyre" w:hAnsi="DejaVu Math TeX Gyre" w:eastAsia="仿宋_GB2312" w:cs="Times New Roman"/>
              <w:kern w:val="2"/>
              <w:position w:val="-30"/>
              <w:sz w:val="28"/>
              <w:szCs w:val="28"/>
              <w:lang w:val="en-US" w:eastAsia="zh-CN" w:bidi="ar-SA"/>
            </w:rPr>
            <m:t>+</m:t>
          </m:r>
          <m:sSub>
            <m:sSubP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SubPr>
            <m:e>
              <m:r>
                <m:rPr>
                  <m:sty m:val="p"/>
                </m:rPr>
                <w:rPr>
                  <w:rFonts w:hint="eastAsia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X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e>
            <m:sub>
              <m:r>
                <m:rPr>
                  <m:sty m:val="p"/>
                </m:r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43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ub>
          </m:sSub>
          <m:r>
            <m:rPr>
              <m:sty m:val="p"/>
            </m:rPr>
            <w:rPr>
              <w:rFonts w:hint="default" w:ascii="DejaVu Math TeX Gyre" w:hAnsi="DejaVu Math TeX Gyre" w:eastAsia="仿宋_GB2312" w:cs="Times New Roman"/>
              <w:kern w:val="2"/>
              <w:position w:val="-30"/>
              <w:sz w:val="28"/>
              <w:szCs w:val="28"/>
              <w:lang w:val="en-US" w:eastAsia="zh-CN" w:bidi="ar-SA"/>
            </w:rPr>
            <m:t>+</m:t>
          </m:r>
          <m:sSub>
            <m:sSubP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SubPr>
            <m:e>
              <m:r>
                <m:rPr>
                  <m:sty m:val="p"/>
                </m:rPr>
                <w:rPr>
                  <w:rFonts w:hint="eastAsia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X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e>
            <m:sub>
              <m:r>
                <m:rPr>
                  <m:sty m:val="p"/>
                </m:r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44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ub>
          </m:sSub>
          <m:r>
            <m:rPr>
              <m:sty m:val="p"/>
            </m:rPr>
            <w:rPr>
              <w:rFonts w:hint="default" w:ascii="DejaVu Math TeX Gyre" w:hAnsi="DejaVu Math TeX Gyre" w:eastAsia="仿宋_GB2312" w:cs="Times New Roman"/>
              <w:kern w:val="2"/>
              <w:position w:val="-30"/>
              <w:sz w:val="28"/>
              <w:szCs w:val="28"/>
              <w:lang w:val="en-US" w:eastAsia="zh-CN" w:bidi="ar-SA"/>
            </w:rPr>
            <m:t>+</m:t>
          </m:r>
          <m:sSub>
            <m:sSubP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SubPr>
            <m:e>
              <m:r>
                <m:rPr>
                  <m:sty m:val="p"/>
                </m:rPr>
                <w:rPr>
                  <w:rFonts w:hint="eastAsia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X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e>
            <m:sub>
              <m:r>
                <m:rPr>
                  <m:sty m:val="p"/>
                </m:r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51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ub>
          </m:sSub>
          <m:r>
            <m:rPr>
              <m:sty m:val="p"/>
            </m:rPr>
            <w:rPr>
              <w:rFonts w:hint="default" w:ascii="DejaVu Math TeX Gyre" w:hAnsi="DejaVu Math TeX Gyre" w:eastAsia="仿宋_GB2312" w:cs="Times New Roman"/>
              <w:kern w:val="2"/>
              <w:position w:val="-30"/>
              <w:sz w:val="28"/>
              <w:szCs w:val="28"/>
              <w:lang w:val="en-US" w:eastAsia="zh-CN" w:bidi="ar-SA"/>
            </w:rPr>
            <m:t>+</m:t>
          </m:r>
          <m:sSub>
            <m:sSubP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SubPr>
            <m:e>
              <m:r>
                <m:rPr>
                  <m:sty m:val="p"/>
                </m:rPr>
                <w:rPr>
                  <w:rFonts w:hint="eastAsia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X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e>
            <m:sub>
              <m:r>
                <m:rPr>
                  <m:sty m:val="p"/>
                </m:r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61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ub>
          </m:sSub>
          <m:r>
            <m:rPr>
              <m:sty m:val="p"/>
            </m:rPr>
            <w:rPr>
              <w:rFonts w:hint="default" w:ascii="DejaVu Math TeX Gyre" w:hAnsi="DejaVu Math TeX Gyre" w:eastAsia="仿宋_GB2312" w:cs="Times New Roman"/>
              <w:kern w:val="2"/>
              <w:position w:val="-30"/>
              <w:sz w:val="28"/>
              <w:szCs w:val="28"/>
              <w:lang w:val="en-US" w:eastAsia="zh-CN" w:bidi="ar-SA"/>
            </w:rPr>
            <m:t>+</m:t>
          </m:r>
          <m:sSub>
            <m:sSubP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SubPr>
            <m:e>
              <m:r>
                <m:rPr>
                  <m:sty m:val="p"/>
                </m:rPr>
                <w:rPr>
                  <w:rFonts w:hint="eastAsia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X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e>
            <m:sub>
              <m:r>
                <m:rPr>
                  <m:sty m:val="p"/>
                </m:r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62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ub>
          </m:sSub>
          <m:r>
            <m:rPr>
              <m:sty m:val="p"/>
            </m:rPr>
            <w:rPr>
              <w:rFonts w:hint="default" w:ascii="DejaVu Math TeX Gyre" w:hAnsi="DejaVu Math TeX Gyre" w:eastAsia="仿宋_GB2312" w:cs="Times New Roman"/>
              <w:kern w:val="2"/>
              <w:position w:val="-30"/>
              <w:sz w:val="28"/>
              <w:szCs w:val="28"/>
              <w:lang w:val="en-US" w:eastAsia="zh-CN" w:bidi="ar-SA"/>
            </w:rPr>
            <m:t>+</m:t>
          </m:r>
          <m:sSub>
            <m:sSubP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SubPr>
            <m:e>
              <m:r>
                <m:rPr>
                  <m:sty m:val="p"/>
                </m:rPr>
                <w:rPr>
                  <w:rFonts w:hint="eastAsia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X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e>
            <m:sub>
              <m:r>
                <m:rPr>
                  <m:sty m:val="p"/>
                </m:r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63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ub>
          </m:sSub>
          <m:r>
            <m:rPr>
              <m:sty m:val="p"/>
            </m:rPr>
            <w:rPr>
              <w:rFonts w:hint="default" w:ascii="DejaVu Math TeX Gyre" w:hAnsi="DejaVu Math TeX Gyre" w:eastAsia="仿宋_GB2312" w:cs="Times New Roman"/>
              <w:kern w:val="2"/>
              <w:position w:val="-30"/>
              <w:sz w:val="28"/>
              <w:szCs w:val="28"/>
              <w:lang w:val="en-US" w:eastAsia="zh-CN" w:bidi="ar-SA"/>
            </w:rPr>
            <m:t>+</m:t>
          </m:r>
          <m:sSub>
            <m:sSubP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SubPr>
            <m:e>
              <m:r>
                <m:rPr>
                  <m:sty m:val="p"/>
                </m:rPr>
                <w:rPr>
                  <w:rFonts w:hint="eastAsia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X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e>
            <m:sub>
              <m:r>
                <m:rPr>
                  <m:sty m:val="p"/>
                </m:r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  <m:t>64</m:t>
              </m:r>
              <m:ctrlPr>
                <w:rPr>
                  <w:rFonts w:hint="default" w:ascii="DejaVu Math TeX Gyre" w:hAnsi="DejaVu Math TeX Gyre" w:eastAsia="仿宋_GB2312" w:cs="Times New Roman"/>
                  <w:kern w:val="2"/>
                  <w:position w:val="-30"/>
                  <w:sz w:val="28"/>
                  <w:szCs w:val="28"/>
                  <w:lang w:val="en-US" w:eastAsia="zh-CN" w:bidi="ar-SA"/>
                </w:rPr>
              </m:ctrlPr>
            </m:sub>
          </m:sSub>
        </m:oMath>
      </m:oMathPara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iti SC Medium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KaiTi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仿宋_GB2312" w:hAnsi="仿宋_GB2312" w:eastAsia="仿宋_GB2312" w:cs="仿宋_GB2312"/>
        <w:sz w:val="22"/>
        <w:szCs w:val="22"/>
      </w:rPr>
    </w:pPr>
    <w:r>
      <w:rPr>
        <w:rFonts w:ascii="Times New Roman" w:hAnsi="Times New Roman" w:cs="Times New Roman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WAAAAZHJzL1BLAQIU&#10;ABQAAAAIAIdO4kBoaYJL0wAAAAUBAAAPAAAAAAAAAAEAIAAAADgAAABkcnMvZG93bnJldi54bWxQ&#10;SwECFAAUAAAACACHTuJAsWeKL+YBAADIAwAADgAAAAAAAAABACAAAAA4AQAAZHJzL2Uyb0RvYy54&#10;bWxQSwUGAAAAAAYABgBZAQAAk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Cs w:val="21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BBF12C"/>
    <w:multiLevelType w:val="singleLevel"/>
    <w:tmpl w:val="A5BBF1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M2Y5OTI3YWUxMDUwMWM2YTM5NmE2OGU2Y2IwNzUifQ=="/>
  </w:docVars>
  <w:rsids>
    <w:rsidRoot w:val="53BA1692"/>
    <w:rsid w:val="53BA1692"/>
    <w:rsid w:val="5F7A7B4D"/>
    <w:rsid w:val="6FC87B1E"/>
    <w:rsid w:val="7B674683"/>
    <w:rsid w:val="7D9BD821"/>
    <w:rsid w:val="7DEB5BF9"/>
    <w:rsid w:val="FAE77BC5"/>
    <w:rsid w:val="FFFDA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2181</Words>
  <Characters>2312</Characters>
  <Lines>0</Lines>
  <Paragraphs>0</Paragraphs>
  <TotalTime>2</TotalTime>
  <ScaleCrop>false</ScaleCrop>
  <LinksUpToDate>false</LinksUpToDate>
  <CharactersWithSpaces>2511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2023-04-29T18:53:00Z</dcterms:created>
  <dc:creator>Administrator</dc:creator>
  <cp:lastModifiedBy>梦想成真</cp:lastModifiedBy>
  <dcterms:modified xsi:type="dcterms:W3CDTF">2024-02-20T11:12:43Z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BAFB2F1218314517AF046308B1CFD5EB_11</vt:lpwstr>
  </property>
</Properties>
</file>